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3714" w:rsidRDefault="000C3714" w:rsidP="00BF194B">
      <w:pPr>
        <w:ind w:left="5040" w:firstLine="720"/>
      </w:pPr>
      <w:r w:rsidRPr="009842C0">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51.8pt;height:69pt;visibility:visible">
            <v:imagedata r:id="rId7" o:title=""/>
          </v:shape>
        </w:pict>
      </w:r>
    </w:p>
    <w:tbl>
      <w:tblPr>
        <w:tblW w:w="10632" w:type="dxa"/>
        <w:tblInd w:w="-70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tblCellMar>
        <w:tblLook w:val="0000"/>
      </w:tblPr>
      <w:tblGrid>
        <w:gridCol w:w="1555"/>
        <w:gridCol w:w="9077"/>
      </w:tblGrid>
      <w:tr w:rsidR="000C3714" w:rsidRPr="00165EC8" w:rsidTr="000F433A">
        <w:tc>
          <w:tcPr>
            <w:tcW w:w="10632" w:type="dxa"/>
            <w:gridSpan w:val="2"/>
            <w:tcBorders>
              <w:top w:val="nil"/>
              <w:left w:val="nil"/>
              <w:bottom w:val="single" w:sz="12" w:space="0" w:color="auto"/>
              <w:right w:val="nil"/>
            </w:tcBorders>
          </w:tcPr>
          <w:p w:rsidR="000C3714" w:rsidRPr="00165EC8" w:rsidRDefault="000C3714" w:rsidP="005A21EF">
            <w:pPr>
              <w:pStyle w:val="Heading1"/>
              <w:rPr>
                <w:rFonts w:ascii="Arial Black" w:hAnsi="Arial Black"/>
                <w:b/>
                <w:sz w:val="33"/>
                <w:szCs w:val="33"/>
              </w:rPr>
            </w:pPr>
            <w:r w:rsidRPr="00165EC8">
              <w:rPr>
                <w:noProof/>
                <w:sz w:val="33"/>
                <w:szCs w:val="33"/>
              </w:rPr>
              <w:br w:type="page"/>
              <w:t>Meeting between HMRC, BUFDG and CTG re: Public Notice 701/6</w:t>
            </w:r>
            <w:r w:rsidRPr="00165EC8">
              <w:rPr>
                <w:rFonts w:ascii="Arial Black" w:hAnsi="Arial Black"/>
                <w:b/>
                <w:sz w:val="33"/>
                <w:szCs w:val="33"/>
              </w:rPr>
              <w:t xml:space="preserve"> </w:t>
            </w:r>
          </w:p>
        </w:tc>
      </w:tr>
      <w:tr w:rsidR="000C3714" w:rsidRPr="00165EC8" w:rsidTr="000F433A">
        <w:tc>
          <w:tcPr>
            <w:tcW w:w="10632" w:type="dxa"/>
            <w:gridSpan w:val="2"/>
            <w:tcBorders>
              <w:top w:val="single" w:sz="12" w:space="0" w:color="auto"/>
              <w:left w:val="nil"/>
              <w:bottom w:val="nil"/>
              <w:right w:val="nil"/>
            </w:tcBorders>
          </w:tcPr>
          <w:p w:rsidR="000C3714" w:rsidRPr="00165EC8" w:rsidRDefault="000C3714" w:rsidP="000A3438">
            <w:pPr>
              <w:spacing w:before="80" w:after="60"/>
              <w:rPr>
                <w:rFonts w:ascii="Arial" w:hAnsi="Arial" w:cs="Arial"/>
                <w:bCs/>
                <w:i/>
                <w:iCs/>
                <w:sz w:val="2"/>
              </w:rPr>
            </w:pPr>
          </w:p>
        </w:tc>
      </w:tr>
      <w:tr w:rsidR="000C3714" w:rsidRPr="00165EC8" w:rsidTr="000F433A">
        <w:tc>
          <w:tcPr>
            <w:tcW w:w="10632" w:type="dxa"/>
            <w:gridSpan w:val="2"/>
            <w:tcBorders>
              <w:top w:val="nil"/>
              <w:left w:val="nil"/>
              <w:bottom w:val="nil"/>
              <w:right w:val="nil"/>
            </w:tcBorders>
          </w:tcPr>
          <w:p w:rsidR="000C3714" w:rsidRPr="00165EC8" w:rsidRDefault="000C3714" w:rsidP="008242DD">
            <w:pPr>
              <w:pStyle w:val="Heading3"/>
            </w:pPr>
            <w:r w:rsidRPr="00165EC8">
              <w:t xml:space="preserve">Location:  </w:t>
            </w:r>
          </w:p>
          <w:p w:rsidR="000C3714" w:rsidRPr="00165EC8" w:rsidRDefault="000C3714" w:rsidP="008341B8">
            <w:pPr>
              <w:spacing w:before="120" w:after="120"/>
              <w:rPr>
                <w:rFonts w:cs="Arial"/>
                <w:bCs/>
              </w:rPr>
            </w:pPr>
            <w:r w:rsidRPr="00165EC8">
              <w:rPr>
                <w:rFonts w:cs="Arial"/>
                <w:bCs/>
              </w:rPr>
              <w:t>CTG/Central Lobby, Church House, London – 9 July 2015</w:t>
            </w:r>
          </w:p>
          <w:p w:rsidR="000C3714" w:rsidRPr="00165EC8" w:rsidRDefault="000C3714" w:rsidP="008242DD">
            <w:pPr>
              <w:pStyle w:val="Heading3"/>
            </w:pPr>
            <w:r w:rsidRPr="00165EC8">
              <w:t>Attending:</w:t>
            </w:r>
          </w:p>
        </w:tc>
      </w:tr>
      <w:tr w:rsidR="000C3714" w:rsidRPr="00165EC8" w:rsidTr="000F433A">
        <w:tc>
          <w:tcPr>
            <w:tcW w:w="10632" w:type="dxa"/>
            <w:gridSpan w:val="2"/>
            <w:tcBorders>
              <w:top w:val="nil"/>
              <w:left w:val="nil"/>
              <w:bottom w:val="nil"/>
              <w:right w:val="nil"/>
            </w:tcBorders>
          </w:tcPr>
          <w:p w:rsidR="000C3714" w:rsidRPr="00165EC8" w:rsidRDefault="000C3714" w:rsidP="008341B8">
            <w:pPr>
              <w:spacing w:after="0" w:line="240" w:lineRule="auto"/>
              <w:rPr>
                <w:rFonts w:cs="Arial"/>
                <w:color w:val="000000"/>
                <w:szCs w:val="18"/>
              </w:rPr>
            </w:pPr>
            <w:r w:rsidRPr="00165EC8">
              <w:rPr>
                <w:rFonts w:cs="Arial"/>
                <w:bCs/>
                <w:szCs w:val="18"/>
              </w:rPr>
              <w:t xml:space="preserve">HMRC:     Chris Maudsley, Michelle Stokell, </w:t>
            </w:r>
            <w:r w:rsidRPr="00165EC8">
              <w:rPr>
                <w:rFonts w:cs="Arial"/>
                <w:color w:val="000000"/>
                <w:szCs w:val="18"/>
              </w:rPr>
              <w:t>Joanna Bigmore</w:t>
            </w:r>
          </w:p>
          <w:p w:rsidR="000C3714" w:rsidRPr="00165EC8" w:rsidRDefault="000C3714" w:rsidP="008341B8">
            <w:pPr>
              <w:spacing w:after="0" w:line="240" w:lineRule="auto"/>
              <w:rPr>
                <w:rFonts w:cs="Arial"/>
                <w:color w:val="000000"/>
                <w:szCs w:val="18"/>
              </w:rPr>
            </w:pPr>
            <w:r w:rsidRPr="00165EC8">
              <w:rPr>
                <w:rFonts w:cs="Arial"/>
                <w:color w:val="000000"/>
                <w:szCs w:val="18"/>
              </w:rPr>
              <w:t>CTG:         John Hemming, Richard Bray, Chris Lane</w:t>
            </w:r>
          </w:p>
          <w:p w:rsidR="000C3714" w:rsidRPr="00165EC8" w:rsidRDefault="000C3714" w:rsidP="008341B8">
            <w:pPr>
              <w:spacing w:after="0" w:line="240" w:lineRule="auto"/>
              <w:rPr>
                <w:color w:val="000000"/>
                <w:sz w:val="28"/>
              </w:rPr>
            </w:pPr>
            <w:r w:rsidRPr="00165EC8">
              <w:rPr>
                <w:rFonts w:cs="Arial"/>
                <w:color w:val="000000"/>
                <w:szCs w:val="18"/>
              </w:rPr>
              <w:t>BUFDG:    Amanda Darley</w:t>
            </w:r>
            <w:r w:rsidRPr="00165EC8">
              <w:rPr>
                <w:color w:val="000000"/>
                <w:sz w:val="28"/>
              </w:rPr>
              <w:t xml:space="preserve"> </w:t>
            </w:r>
          </w:p>
          <w:p w:rsidR="000C3714" w:rsidRPr="00165EC8" w:rsidRDefault="000C3714" w:rsidP="008341B8">
            <w:pPr>
              <w:spacing w:after="0" w:line="240" w:lineRule="auto"/>
              <w:rPr>
                <w:rFonts w:ascii="Arial" w:hAnsi="Arial" w:cs="Arial"/>
                <w:bCs/>
                <w:sz w:val="18"/>
              </w:rPr>
            </w:pPr>
          </w:p>
        </w:tc>
      </w:tr>
      <w:tr w:rsidR="000C3714" w:rsidRPr="00165EC8" w:rsidTr="000F433A">
        <w:tc>
          <w:tcPr>
            <w:tcW w:w="10632" w:type="dxa"/>
            <w:gridSpan w:val="2"/>
            <w:tcBorders>
              <w:top w:val="nil"/>
              <w:left w:val="nil"/>
              <w:bottom w:val="nil"/>
              <w:right w:val="nil"/>
            </w:tcBorders>
          </w:tcPr>
          <w:p w:rsidR="000C3714" w:rsidRPr="00165EC8" w:rsidRDefault="000C3714" w:rsidP="008242DD">
            <w:pPr>
              <w:pStyle w:val="Heading3"/>
            </w:pPr>
            <w:r w:rsidRPr="00165EC8">
              <w:t xml:space="preserve">Meeting objective: </w:t>
            </w:r>
          </w:p>
          <w:p w:rsidR="000C3714" w:rsidRPr="00165EC8" w:rsidRDefault="000C3714" w:rsidP="008341B8">
            <w:pPr>
              <w:spacing w:after="0"/>
              <w:rPr>
                <w:rFonts w:cs="Arial"/>
                <w:bCs/>
                <w:sz w:val="18"/>
              </w:rPr>
            </w:pPr>
            <w:r w:rsidRPr="00165EC8">
              <w:rPr>
                <w:rFonts w:cs="Arial"/>
                <w:bCs/>
              </w:rPr>
              <w:t>To discuss possible updates and improvements to HMRC’s Public Notice 701/6 and guidance regarding charity funded equipment for medical and veterinary uses</w:t>
            </w:r>
          </w:p>
        </w:tc>
      </w:tr>
      <w:tr w:rsidR="000C3714" w:rsidRPr="00165EC8" w:rsidTr="000F433A">
        <w:tc>
          <w:tcPr>
            <w:tcW w:w="1555" w:type="dxa"/>
            <w:tcBorders>
              <w:top w:val="nil"/>
              <w:left w:val="nil"/>
              <w:bottom w:val="nil"/>
              <w:right w:val="nil"/>
            </w:tcBorders>
          </w:tcPr>
          <w:p w:rsidR="000C3714" w:rsidRPr="00165EC8" w:rsidRDefault="000C3714" w:rsidP="000A3438">
            <w:pPr>
              <w:pStyle w:val="Heading3"/>
              <w:spacing w:before="120" w:after="0"/>
            </w:pPr>
            <w:r w:rsidRPr="00165EC8">
              <w:t>Abbreviations</w:t>
            </w:r>
            <w:r w:rsidRPr="00165EC8">
              <w:rPr>
                <w:sz w:val="18"/>
              </w:rPr>
              <w:t>:</w:t>
            </w:r>
          </w:p>
        </w:tc>
        <w:tc>
          <w:tcPr>
            <w:tcW w:w="9077" w:type="dxa"/>
            <w:tcBorders>
              <w:top w:val="nil"/>
              <w:left w:val="nil"/>
              <w:bottom w:val="nil"/>
              <w:right w:val="nil"/>
            </w:tcBorders>
          </w:tcPr>
          <w:p w:rsidR="000C3714" w:rsidRPr="00165EC8" w:rsidRDefault="000C3714" w:rsidP="000A3438">
            <w:pPr>
              <w:spacing w:before="120" w:after="120"/>
              <w:rPr>
                <w:rFonts w:ascii="Arial" w:hAnsi="Arial" w:cs="Arial"/>
                <w:bCs/>
                <w:sz w:val="18"/>
              </w:rPr>
            </w:pPr>
          </w:p>
        </w:tc>
      </w:tr>
      <w:tr w:rsidR="000C3714" w:rsidRPr="00165EC8" w:rsidTr="0079584E">
        <w:tc>
          <w:tcPr>
            <w:tcW w:w="1555" w:type="dxa"/>
            <w:tcBorders>
              <w:top w:val="nil"/>
              <w:left w:val="nil"/>
              <w:bottom w:val="single" w:sz="2" w:space="0" w:color="auto"/>
              <w:right w:val="nil"/>
            </w:tcBorders>
          </w:tcPr>
          <w:p w:rsidR="000C3714" w:rsidRPr="00165EC8" w:rsidRDefault="000C3714" w:rsidP="008341B8">
            <w:pPr>
              <w:spacing w:after="0"/>
              <w:rPr>
                <w:rFonts w:cs="Arial"/>
                <w:bCs/>
                <w:sz w:val="20"/>
              </w:rPr>
            </w:pPr>
            <w:r w:rsidRPr="00165EC8">
              <w:rPr>
                <w:rFonts w:cs="Arial"/>
                <w:bCs/>
                <w:sz w:val="20"/>
              </w:rPr>
              <w:t xml:space="preserve">CTG: </w:t>
            </w:r>
          </w:p>
          <w:p w:rsidR="000C3714" w:rsidRPr="00165EC8" w:rsidRDefault="000C3714" w:rsidP="008341B8">
            <w:pPr>
              <w:spacing w:after="0"/>
              <w:rPr>
                <w:rFonts w:cs="Arial"/>
                <w:bCs/>
                <w:sz w:val="20"/>
              </w:rPr>
            </w:pPr>
            <w:r w:rsidRPr="00165EC8">
              <w:rPr>
                <w:rFonts w:cs="Arial"/>
                <w:bCs/>
                <w:sz w:val="20"/>
              </w:rPr>
              <w:t>BUFDG:</w:t>
            </w:r>
          </w:p>
          <w:p w:rsidR="000C3714" w:rsidRPr="00165EC8" w:rsidRDefault="000C3714" w:rsidP="008341B8">
            <w:pPr>
              <w:spacing w:after="0"/>
              <w:rPr>
                <w:rFonts w:cs="Arial"/>
                <w:bCs/>
                <w:sz w:val="20"/>
              </w:rPr>
            </w:pPr>
            <w:r w:rsidRPr="00165EC8">
              <w:rPr>
                <w:rFonts w:cs="Arial"/>
                <w:bCs/>
                <w:sz w:val="20"/>
              </w:rPr>
              <w:t>ESC:</w:t>
            </w:r>
          </w:p>
          <w:p w:rsidR="000C3714" w:rsidRPr="00165EC8" w:rsidRDefault="000C3714" w:rsidP="008341B8">
            <w:pPr>
              <w:spacing w:after="0"/>
              <w:rPr>
                <w:rFonts w:cs="Arial"/>
                <w:bCs/>
                <w:sz w:val="20"/>
              </w:rPr>
            </w:pPr>
            <w:r w:rsidRPr="00165EC8">
              <w:rPr>
                <w:rFonts w:cs="Arial"/>
                <w:bCs/>
                <w:sz w:val="20"/>
              </w:rPr>
              <w:t>HMRC:</w:t>
            </w:r>
          </w:p>
        </w:tc>
        <w:tc>
          <w:tcPr>
            <w:tcW w:w="9077" w:type="dxa"/>
            <w:tcBorders>
              <w:top w:val="nil"/>
              <w:left w:val="nil"/>
              <w:bottom w:val="single" w:sz="2" w:space="0" w:color="auto"/>
              <w:right w:val="nil"/>
            </w:tcBorders>
          </w:tcPr>
          <w:p w:rsidR="000C3714" w:rsidRPr="00165EC8" w:rsidRDefault="000C3714" w:rsidP="008341B8">
            <w:pPr>
              <w:spacing w:after="0"/>
              <w:rPr>
                <w:rFonts w:cs="Arial"/>
                <w:bCs/>
                <w:sz w:val="20"/>
              </w:rPr>
            </w:pPr>
            <w:r w:rsidRPr="00165EC8">
              <w:rPr>
                <w:rFonts w:cs="Arial"/>
                <w:bCs/>
                <w:sz w:val="20"/>
              </w:rPr>
              <w:t>Charity Tax Group</w:t>
            </w:r>
          </w:p>
          <w:p w:rsidR="000C3714" w:rsidRPr="00165EC8" w:rsidRDefault="000C3714" w:rsidP="008341B8">
            <w:pPr>
              <w:spacing w:after="0"/>
              <w:rPr>
                <w:rFonts w:cs="Arial"/>
                <w:bCs/>
                <w:sz w:val="20"/>
              </w:rPr>
            </w:pPr>
            <w:r w:rsidRPr="00165EC8">
              <w:rPr>
                <w:rFonts w:cs="Arial"/>
                <w:bCs/>
                <w:sz w:val="20"/>
              </w:rPr>
              <w:t>British Universities Finance Directors Group</w:t>
            </w:r>
          </w:p>
          <w:p w:rsidR="000C3714" w:rsidRPr="00165EC8" w:rsidRDefault="000C3714" w:rsidP="008341B8">
            <w:pPr>
              <w:spacing w:after="0"/>
              <w:rPr>
                <w:rFonts w:cs="Arial"/>
                <w:bCs/>
                <w:sz w:val="20"/>
              </w:rPr>
            </w:pPr>
            <w:r w:rsidRPr="00165EC8">
              <w:rPr>
                <w:rFonts w:cs="Arial"/>
                <w:bCs/>
                <w:sz w:val="20"/>
              </w:rPr>
              <w:t>Extra Statutory Concession</w:t>
            </w:r>
          </w:p>
          <w:p w:rsidR="000C3714" w:rsidRPr="00165EC8" w:rsidRDefault="000C3714" w:rsidP="008341B8">
            <w:pPr>
              <w:spacing w:after="0"/>
              <w:rPr>
                <w:rFonts w:cs="Arial"/>
                <w:bCs/>
                <w:sz w:val="20"/>
              </w:rPr>
            </w:pPr>
            <w:r w:rsidRPr="00165EC8">
              <w:rPr>
                <w:rFonts w:cs="Arial"/>
                <w:bCs/>
                <w:sz w:val="20"/>
              </w:rPr>
              <w:t>HM Revenue &amp; Customs</w:t>
            </w:r>
          </w:p>
        </w:tc>
      </w:tr>
    </w:tbl>
    <w:p w:rsidR="000C3714" w:rsidRDefault="000C3714" w:rsidP="00BF194B">
      <w:pPr>
        <w:pStyle w:val="NormalWeb"/>
        <w:spacing w:before="0" w:beforeAutospacing="0" w:after="0" w:afterAutospacing="0"/>
        <w:rPr>
          <w:rFonts w:ascii="Calibri" w:hAnsi="Calibri"/>
          <w:color w:val="000000"/>
          <w:sz w:val="22"/>
          <w:szCs w:val="22"/>
        </w:rPr>
      </w:pPr>
    </w:p>
    <w:tbl>
      <w:tblPr>
        <w:tblW w:w="10632" w:type="dxa"/>
        <w:tblInd w:w="-709" w:type="dxa"/>
        <w:tblBorders>
          <w:bottom w:val="single" w:sz="2" w:space="0" w:color="auto"/>
          <w:insideH w:val="single" w:sz="2" w:space="0" w:color="auto"/>
        </w:tblBorders>
        <w:tblLayout w:type="fixed"/>
        <w:tblLook w:val="0000"/>
      </w:tblPr>
      <w:tblGrid>
        <w:gridCol w:w="737"/>
        <w:gridCol w:w="3374"/>
        <w:gridCol w:w="4536"/>
        <w:gridCol w:w="1985"/>
      </w:tblGrid>
      <w:tr w:rsidR="000C3714" w:rsidRPr="00165EC8" w:rsidTr="0079584E">
        <w:trPr>
          <w:cantSplit/>
          <w:tblHeader/>
        </w:trPr>
        <w:tc>
          <w:tcPr>
            <w:tcW w:w="737" w:type="dxa"/>
            <w:vAlign w:val="bottom"/>
          </w:tcPr>
          <w:p w:rsidR="000C3714" w:rsidRPr="00165EC8" w:rsidRDefault="000C3714" w:rsidP="00100891">
            <w:pPr>
              <w:spacing w:beforeLines="80" w:afterLines="80" w:line="264" w:lineRule="auto"/>
              <w:ind w:left="-108"/>
              <w:rPr>
                <w:rFonts w:ascii="Calibri Light" w:hAnsi="Calibri Light" w:cs="Arial"/>
                <w:i/>
                <w:iCs/>
                <w:sz w:val="16"/>
              </w:rPr>
            </w:pPr>
          </w:p>
        </w:tc>
        <w:tc>
          <w:tcPr>
            <w:tcW w:w="3374" w:type="dxa"/>
            <w:vAlign w:val="bottom"/>
          </w:tcPr>
          <w:p w:rsidR="000C3714" w:rsidRPr="00165EC8" w:rsidRDefault="000C3714" w:rsidP="00100891">
            <w:pPr>
              <w:spacing w:beforeLines="80" w:afterLines="80" w:line="264" w:lineRule="auto"/>
              <w:rPr>
                <w:rFonts w:ascii="Arial" w:hAnsi="Arial" w:cs="Arial"/>
                <w:i/>
                <w:iCs/>
                <w:sz w:val="16"/>
              </w:rPr>
            </w:pPr>
            <w:r w:rsidRPr="00165EC8">
              <w:rPr>
                <w:rFonts w:ascii="Arial" w:hAnsi="Arial" w:cs="Arial"/>
                <w:i/>
                <w:iCs/>
                <w:sz w:val="16"/>
              </w:rPr>
              <w:t>Topic</w:t>
            </w:r>
          </w:p>
        </w:tc>
        <w:tc>
          <w:tcPr>
            <w:tcW w:w="4536" w:type="dxa"/>
            <w:vAlign w:val="bottom"/>
          </w:tcPr>
          <w:p w:rsidR="000C3714" w:rsidRPr="00165EC8" w:rsidRDefault="000C3714" w:rsidP="00100891">
            <w:pPr>
              <w:spacing w:beforeLines="80" w:afterLines="80" w:line="264" w:lineRule="auto"/>
              <w:jc w:val="both"/>
              <w:rPr>
                <w:rFonts w:ascii="Arial" w:hAnsi="Arial" w:cs="Arial"/>
                <w:i/>
                <w:iCs/>
                <w:sz w:val="16"/>
              </w:rPr>
            </w:pPr>
            <w:r w:rsidRPr="00165EC8">
              <w:rPr>
                <w:rFonts w:ascii="Arial" w:hAnsi="Arial" w:cs="Arial"/>
                <w:i/>
                <w:iCs/>
                <w:sz w:val="16"/>
              </w:rPr>
              <w:t>Details</w:t>
            </w:r>
          </w:p>
        </w:tc>
        <w:tc>
          <w:tcPr>
            <w:tcW w:w="1985" w:type="dxa"/>
          </w:tcPr>
          <w:p w:rsidR="000C3714" w:rsidRPr="00165EC8" w:rsidRDefault="000C3714" w:rsidP="00100891">
            <w:pPr>
              <w:spacing w:beforeLines="80" w:afterLines="80" w:line="264" w:lineRule="auto"/>
              <w:rPr>
                <w:rFonts w:ascii="Arial" w:hAnsi="Arial" w:cs="Arial"/>
                <w:i/>
                <w:iCs/>
                <w:sz w:val="16"/>
              </w:rPr>
            </w:pPr>
            <w:r w:rsidRPr="00165EC8">
              <w:rPr>
                <w:rFonts w:ascii="Arial" w:hAnsi="Arial" w:cs="Arial"/>
                <w:i/>
                <w:iCs/>
                <w:sz w:val="16"/>
              </w:rPr>
              <w:t>Actions</w:t>
            </w:r>
          </w:p>
        </w:tc>
      </w:tr>
      <w:tr w:rsidR="000C3714" w:rsidRPr="00165EC8" w:rsidTr="0079584E">
        <w:trPr>
          <w:cantSplit/>
        </w:trPr>
        <w:tc>
          <w:tcPr>
            <w:tcW w:w="737" w:type="dxa"/>
            <w:tcBorders>
              <w:bottom w:val="single" w:sz="4" w:space="0" w:color="D0CECE"/>
            </w:tcBorders>
          </w:tcPr>
          <w:p w:rsidR="000C3714" w:rsidRPr="00165EC8" w:rsidRDefault="000C3714" w:rsidP="000A3438">
            <w:pPr>
              <w:spacing w:before="120" w:after="120" w:line="264" w:lineRule="auto"/>
              <w:ind w:left="-108"/>
              <w:rPr>
                <w:rFonts w:ascii="Calibri Light" w:hAnsi="Calibri Light" w:cs="Arial"/>
                <w:sz w:val="17"/>
              </w:rPr>
            </w:pPr>
            <w:r w:rsidRPr="00165EC8">
              <w:rPr>
                <w:rFonts w:ascii="Calibri Light" w:hAnsi="Calibri Light" w:cs="Arial"/>
                <w:sz w:val="17"/>
              </w:rPr>
              <w:t>1</w:t>
            </w:r>
          </w:p>
        </w:tc>
        <w:tc>
          <w:tcPr>
            <w:tcW w:w="3374" w:type="dxa"/>
            <w:tcBorders>
              <w:bottom w:val="single" w:sz="4" w:space="0" w:color="D0CECE"/>
            </w:tcBorders>
          </w:tcPr>
          <w:p w:rsidR="000C3714" w:rsidRPr="00165EC8" w:rsidRDefault="000C3714" w:rsidP="00625CA8">
            <w:pPr>
              <w:spacing w:before="120" w:after="120"/>
              <w:rPr>
                <w:rFonts w:cs="Arial"/>
                <w:b/>
                <w:bCs/>
              </w:rPr>
            </w:pPr>
            <w:r w:rsidRPr="00165EC8">
              <w:rPr>
                <w:rFonts w:cs="Arial"/>
                <w:b/>
                <w:bCs/>
              </w:rPr>
              <w:t>Specific assistance is available to help charities with queries over medical/veterinary zero-rating and other VAT reliefs</w:t>
            </w:r>
          </w:p>
        </w:tc>
        <w:tc>
          <w:tcPr>
            <w:tcW w:w="4536" w:type="dxa"/>
            <w:tcBorders>
              <w:bottom w:val="single" w:sz="4" w:space="0" w:color="D0CECE"/>
            </w:tcBorders>
          </w:tcPr>
          <w:p w:rsidR="000C3714" w:rsidRPr="00165EC8" w:rsidRDefault="000C3714" w:rsidP="004E4A29">
            <w:pPr>
              <w:tabs>
                <w:tab w:val="left" w:pos="1134"/>
              </w:tabs>
              <w:spacing w:before="120" w:after="120" w:line="264" w:lineRule="auto"/>
              <w:jc w:val="both"/>
              <w:rPr>
                <w:sz w:val="20"/>
              </w:rPr>
            </w:pPr>
            <w:r w:rsidRPr="00165EC8">
              <w:rPr>
                <w:sz w:val="20"/>
              </w:rPr>
              <w:t>The Charities VAT relief helpline/email, part of the Charities Enquiry team, Bootle – choose ‘VAT team’ on the options menu.</w:t>
            </w:r>
          </w:p>
        </w:tc>
        <w:tc>
          <w:tcPr>
            <w:tcW w:w="1985" w:type="dxa"/>
            <w:tcBorders>
              <w:bottom w:val="single" w:sz="4" w:space="0" w:color="D0CECE"/>
            </w:tcBorders>
          </w:tcPr>
          <w:p w:rsidR="000C3714" w:rsidRPr="00165EC8" w:rsidRDefault="000C3714" w:rsidP="004E4A29">
            <w:pPr>
              <w:tabs>
                <w:tab w:val="left" w:pos="1134"/>
              </w:tabs>
              <w:spacing w:before="120" w:after="120" w:line="264" w:lineRule="auto"/>
              <w:rPr>
                <w:sz w:val="20"/>
              </w:rPr>
            </w:pPr>
            <w:r w:rsidRPr="00165EC8">
              <w:rPr>
                <w:sz w:val="20"/>
              </w:rPr>
              <w:t>JB to send details of helpline to AD &amp; CL (complete)</w:t>
            </w:r>
          </w:p>
          <w:p w:rsidR="000C3714" w:rsidRPr="00165EC8" w:rsidRDefault="000C3714" w:rsidP="004E4A29">
            <w:pPr>
              <w:tabs>
                <w:tab w:val="left" w:pos="1134"/>
              </w:tabs>
              <w:spacing w:before="120" w:after="120" w:line="264" w:lineRule="auto"/>
              <w:rPr>
                <w:sz w:val="20"/>
              </w:rPr>
            </w:pPr>
            <w:r w:rsidRPr="00165EC8">
              <w:rPr>
                <w:sz w:val="20"/>
              </w:rPr>
              <w:t>AD/CL to publicise this to BUFDG/CTG members</w:t>
            </w:r>
          </w:p>
        </w:tc>
      </w:tr>
      <w:tr w:rsidR="000C3714" w:rsidRPr="00165EC8" w:rsidTr="0079584E">
        <w:trPr>
          <w:cantSplit/>
        </w:trPr>
        <w:tc>
          <w:tcPr>
            <w:tcW w:w="737" w:type="dxa"/>
            <w:tcBorders>
              <w:top w:val="single" w:sz="4" w:space="0" w:color="D0CECE"/>
              <w:bottom w:val="single" w:sz="4" w:space="0" w:color="D0CECE"/>
            </w:tcBorders>
          </w:tcPr>
          <w:p w:rsidR="000C3714" w:rsidRPr="00165EC8" w:rsidRDefault="000C3714" w:rsidP="000A3438">
            <w:pPr>
              <w:spacing w:before="120" w:after="120" w:line="264" w:lineRule="auto"/>
              <w:ind w:left="-108"/>
              <w:rPr>
                <w:rFonts w:ascii="Calibri Light" w:hAnsi="Calibri Light" w:cs="Arial"/>
                <w:sz w:val="17"/>
              </w:rPr>
            </w:pPr>
            <w:r w:rsidRPr="00165EC8">
              <w:rPr>
                <w:rFonts w:ascii="Calibri Light" w:hAnsi="Calibri Light" w:cs="Arial"/>
                <w:sz w:val="17"/>
              </w:rPr>
              <w:t>1.1</w:t>
            </w:r>
          </w:p>
        </w:tc>
        <w:tc>
          <w:tcPr>
            <w:tcW w:w="3374" w:type="dxa"/>
            <w:tcBorders>
              <w:top w:val="single" w:sz="4" w:space="0" w:color="D0CECE"/>
              <w:bottom w:val="single" w:sz="4" w:space="0" w:color="D0CECE"/>
            </w:tcBorders>
          </w:tcPr>
          <w:p w:rsidR="000C3714" w:rsidRPr="000F433A" w:rsidRDefault="000C3714" w:rsidP="00625CA8">
            <w:pPr>
              <w:pStyle w:val="Heading"/>
              <w:keepNext w:val="0"/>
              <w:spacing w:after="120" w:line="264" w:lineRule="auto"/>
              <w:jc w:val="left"/>
              <w:rPr>
                <w:rFonts w:ascii="Calibri Light" w:hAnsi="Calibri Light" w:cs="Arial"/>
                <w:b w:val="0"/>
                <w:bCs/>
                <w:i/>
                <w:szCs w:val="22"/>
              </w:rPr>
            </w:pPr>
            <w:r w:rsidRPr="000F433A">
              <w:rPr>
                <w:rFonts w:ascii="Calibri Light" w:hAnsi="Calibri Light" w:cs="Arial"/>
                <w:b w:val="0"/>
                <w:bCs/>
                <w:i/>
                <w:szCs w:val="22"/>
              </w:rPr>
              <w:t>Charities VAT relief helpline</w:t>
            </w:r>
            <w:r>
              <w:rPr>
                <w:rFonts w:ascii="Calibri Light" w:hAnsi="Calibri Light" w:cs="Arial"/>
                <w:b w:val="0"/>
                <w:bCs/>
                <w:i/>
                <w:szCs w:val="22"/>
              </w:rPr>
              <w:t xml:space="preserve"> keeps a record of advice given</w:t>
            </w:r>
          </w:p>
        </w:tc>
        <w:tc>
          <w:tcPr>
            <w:tcW w:w="4536" w:type="dxa"/>
            <w:tcBorders>
              <w:top w:val="single" w:sz="4" w:space="0" w:color="D0CECE"/>
              <w:bottom w:val="single" w:sz="4" w:space="0" w:color="D0CECE"/>
            </w:tcBorders>
          </w:tcPr>
          <w:p w:rsidR="000C3714" w:rsidRPr="00165EC8" w:rsidRDefault="000C3714" w:rsidP="00625CA8">
            <w:pPr>
              <w:tabs>
                <w:tab w:val="left" w:pos="1134"/>
              </w:tabs>
              <w:spacing w:before="120" w:after="120" w:line="264" w:lineRule="auto"/>
              <w:jc w:val="both"/>
              <w:rPr>
                <w:sz w:val="20"/>
              </w:rPr>
            </w:pPr>
            <w:r w:rsidRPr="00165EC8">
              <w:rPr>
                <w:sz w:val="20"/>
              </w:rPr>
              <w:t>This record contains details of med/vet zero-rating guidance given by members of the team and is shared by all the team.</w:t>
            </w:r>
          </w:p>
        </w:tc>
        <w:tc>
          <w:tcPr>
            <w:tcW w:w="1985" w:type="dxa"/>
            <w:tcBorders>
              <w:top w:val="single" w:sz="4" w:space="0" w:color="D0CECE"/>
              <w:bottom w:val="single" w:sz="4" w:space="0" w:color="D0CECE"/>
            </w:tcBorders>
          </w:tcPr>
          <w:p w:rsidR="000C3714" w:rsidRPr="00165EC8" w:rsidRDefault="000C3714" w:rsidP="00B40AB1">
            <w:pPr>
              <w:tabs>
                <w:tab w:val="left" w:pos="1134"/>
              </w:tabs>
              <w:spacing w:before="120" w:after="120" w:line="264" w:lineRule="auto"/>
              <w:rPr>
                <w:sz w:val="20"/>
              </w:rPr>
            </w:pPr>
            <w:r w:rsidRPr="00165EC8">
              <w:rPr>
                <w:sz w:val="20"/>
              </w:rPr>
              <w:t>HMRC to consider if this guidance can be shared more widely e.g. via letters to BUFDG</w:t>
            </w:r>
          </w:p>
        </w:tc>
      </w:tr>
      <w:tr w:rsidR="000C3714" w:rsidRPr="00165EC8" w:rsidTr="0079584E">
        <w:trPr>
          <w:cantSplit/>
        </w:trPr>
        <w:tc>
          <w:tcPr>
            <w:tcW w:w="737" w:type="dxa"/>
            <w:tcBorders>
              <w:top w:val="single" w:sz="4" w:space="0" w:color="D0CECE"/>
            </w:tcBorders>
          </w:tcPr>
          <w:p w:rsidR="000C3714" w:rsidRPr="00165EC8" w:rsidRDefault="000C3714" w:rsidP="000A3438">
            <w:pPr>
              <w:spacing w:before="120" w:after="120" w:line="264" w:lineRule="auto"/>
              <w:ind w:left="-108"/>
              <w:rPr>
                <w:rFonts w:ascii="Calibri Light" w:hAnsi="Calibri Light" w:cs="Arial"/>
                <w:sz w:val="17"/>
              </w:rPr>
            </w:pPr>
            <w:r w:rsidRPr="00165EC8">
              <w:rPr>
                <w:rFonts w:ascii="Calibri Light" w:hAnsi="Calibri Light" w:cs="Arial"/>
                <w:sz w:val="17"/>
              </w:rPr>
              <w:t>1.2</w:t>
            </w:r>
          </w:p>
        </w:tc>
        <w:tc>
          <w:tcPr>
            <w:tcW w:w="3374" w:type="dxa"/>
            <w:tcBorders>
              <w:top w:val="single" w:sz="4" w:space="0" w:color="D0CECE"/>
            </w:tcBorders>
          </w:tcPr>
          <w:p w:rsidR="000C3714" w:rsidRPr="00C66A2D" w:rsidRDefault="000C3714" w:rsidP="000F433A">
            <w:pPr>
              <w:pStyle w:val="Heading"/>
              <w:keepNext w:val="0"/>
              <w:spacing w:after="120" w:line="264" w:lineRule="auto"/>
              <w:jc w:val="left"/>
              <w:rPr>
                <w:rFonts w:ascii="Calibri Light" w:hAnsi="Calibri Light" w:cs="Arial"/>
                <w:b w:val="0"/>
                <w:bCs/>
                <w:i/>
                <w:szCs w:val="22"/>
              </w:rPr>
            </w:pPr>
            <w:r>
              <w:rPr>
                <w:rFonts w:ascii="Calibri Light" w:hAnsi="Calibri Light" w:cs="Arial"/>
                <w:b w:val="0"/>
                <w:bCs/>
                <w:i/>
                <w:szCs w:val="22"/>
              </w:rPr>
              <w:t>Sharing information on med/vet zero-rating rulings between taxpayers could be more formalised</w:t>
            </w:r>
          </w:p>
        </w:tc>
        <w:tc>
          <w:tcPr>
            <w:tcW w:w="4536" w:type="dxa"/>
            <w:tcBorders>
              <w:top w:val="single" w:sz="4" w:space="0" w:color="D0CECE"/>
            </w:tcBorders>
          </w:tcPr>
          <w:p w:rsidR="000C3714" w:rsidRPr="00165EC8" w:rsidRDefault="000C3714" w:rsidP="004E4A29">
            <w:pPr>
              <w:tabs>
                <w:tab w:val="left" w:pos="1134"/>
              </w:tabs>
              <w:spacing w:before="120" w:after="120" w:line="264" w:lineRule="auto"/>
              <w:jc w:val="both"/>
              <w:rPr>
                <w:sz w:val="20"/>
              </w:rPr>
            </w:pPr>
            <w:r w:rsidRPr="00165EC8">
              <w:rPr>
                <w:sz w:val="20"/>
              </w:rPr>
              <w:t>Individual taxpayers sometimes share information on these rulings informally e.g. on BUFDG discussion boards or at networking events, but this could be formalised where the ruling is one which could apply to a large number of taxpayers or to generic items.</w:t>
            </w:r>
          </w:p>
        </w:tc>
        <w:tc>
          <w:tcPr>
            <w:tcW w:w="1985" w:type="dxa"/>
            <w:tcBorders>
              <w:top w:val="single" w:sz="4" w:space="0" w:color="D0CECE"/>
            </w:tcBorders>
          </w:tcPr>
          <w:p w:rsidR="000C3714" w:rsidRPr="00165EC8" w:rsidRDefault="000C3714" w:rsidP="004E4A29">
            <w:pPr>
              <w:tabs>
                <w:tab w:val="left" w:pos="1134"/>
              </w:tabs>
              <w:spacing w:before="120" w:after="120" w:line="264" w:lineRule="auto"/>
              <w:rPr>
                <w:color w:val="000000"/>
              </w:rPr>
            </w:pPr>
            <w:r w:rsidRPr="00165EC8">
              <w:rPr>
                <w:sz w:val="20"/>
              </w:rPr>
              <w:t>AD to invite BUFDG members to share rulings with her to be shared anonymously with all members if appropriate</w:t>
            </w:r>
          </w:p>
        </w:tc>
      </w:tr>
      <w:tr w:rsidR="000C3714" w:rsidRPr="00165EC8" w:rsidTr="0079584E">
        <w:trPr>
          <w:cantSplit/>
        </w:trPr>
        <w:tc>
          <w:tcPr>
            <w:tcW w:w="737" w:type="dxa"/>
            <w:tcBorders>
              <w:bottom w:val="single" w:sz="4" w:space="0" w:color="D0CECE"/>
            </w:tcBorders>
          </w:tcPr>
          <w:p w:rsidR="000C3714" w:rsidRPr="00165EC8" w:rsidRDefault="000C3714" w:rsidP="000A3438">
            <w:pPr>
              <w:spacing w:before="120" w:after="120" w:line="264" w:lineRule="auto"/>
              <w:ind w:left="-108"/>
              <w:rPr>
                <w:rFonts w:ascii="Calibri Light" w:hAnsi="Calibri Light" w:cs="Arial"/>
                <w:sz w:val="17"/>
              </w:rPr>
            </w:pPr>
            <w:r w:rsidRPr="00165EC8">
              <w:rPr>
                <w:rFonts w:ascii="Calibri Light" w:hAnsi="Calibri Light" w:cs="Arial"/>
                <w:sz w:val="17"/>
              </w:rPr>
              <w:t>2</w:t>
            </w:r>
          </w:p>
        </w:tc>
        <w:tc>
          <w:tcPr>
            <w:tcW w:w="3374" w:type="dxa"/>
            <w:tcBorders>
              <w:bottom w:val="single" w:sz="4" w:space="0" w:color="D0CECE"/>
            </w:tcBorders>
          </w:tcPr>
          <w:p w:rsidR="000C3714" w:rsidRPr="00165EC8" w:rsidRDefault="000C3714" w:rsidP="000F433A">
            <w:pPr>
              <w:spacing w:before="120" w:after="120"/>
              <w:rPr>
                <w:rFonts w:cs="Arial"/>
                <w:bCs/>
              </w:rPr>
            </w:pPr>
            <w:r w:rsidRPr="00165EC8">
              <w:rPr>
                <w:rFonts w:cs="Arial"/>
                <w:b/>
                <w:bCs/>
              </w:rPr>
              <w:t>All 3 basic conditions must be met to be eligible for VAT relief on charity funded equipment for medical or veterinary use</w:t>
            </w:r>
          </w:p>
        </w:tc>
        <w:tc>
          <w:tcPr>
            <w:tcW w:w="4536" w:type="dxa"/>
            <w:tcBorders>
              <w:bottom w:val="single" w:sz="4" w:space="0" w:color="D0CECE"/>
            </w:tcBorders>
          </w:tcPr>
          <w:p w:rsidR="000C3714" w:rsidRPr="00165EC8" w:rsidRDefault="000C3714" w:rsidP="004E4A29">
            <w:pPr>
              <w:tabs>
                <w:tab w:val="left" w:pos="1134"/>
              </w:tabs>
              <w:spacing w:before="120" w:after="120" w:line="264" w:lineRule="auto"/>
              <w:jc w:val="both"/>
              <w:rPr>
                <w:sz w:val="20"/>
              </w:rPr>
            </w:pPr>
            <w:r w:rsidRPr="00165EC8">
              <w:rPr>
                <w:sz w:val="20"/>
              </w:rPr>
              <w:t>Consider:</w:t>
            </w:r>
          </w:p>
          <w:p w:rsidR="000C3714" w:rsidRPr="00165EC8" w:rsidRDefault="000C3714" w:rsidP="004E4A29">
            <w:pPr>
              <w:tabs>
                <w:tab w:val="left" w:pos="1134"/>
              </w:tabs>
              <w:spacing w:before="120" w:after="120" w:line="264" w:lineRule="auto"/>
              <w:jc w:val="both"/>
              <w:rPr>
                <w:sz w:val="20"/>
              </w:rPr>
            </w:pPr>
            <w:r w:rsidRPr="00165EC8">
              <w:rPr>
                <w:sz w:val="20"/>
              </w:rPr>
              <w:t xml:space="preserve">1. Eligible body for purposes of relief (all universities are); </w:t>
            </w:r>
          </w:p>
          <w:p w:rsidR="000C3714" w:rsidRPr="00165EC8" w:rsidRDefault="000C3714" w:rsidP="004E4A29">
            <w:pPr>
              <w:tabs>
                <w:tab w:val="left" w:pos="1134"/>
              </w:tabs>
              <w:spacing w:before="120" w:after="120" w:line="264" w:lineRule="auto"/>
              <w:jc w:val="both"/>
              <w:rPr>
                <w:sz w:val="20"/>
              </w:rPr>
            </w:pPr>
            <w:r w:rsidRPr="00165EC8">
              <w:rPr>
                <w:sz w:val="20"/>
              </w:rPr>
              <w:t xml:space="preserve">2. Qualifying use (medical/veterinary research, training or diagnosis/treatment); </w:t>
            </w:r>
          </w:p>
          <w:p w:rsidR="000C3714" w:rsidRPr="00165EC8" w:rsidRDefault="000C3714" w:rsidP="004E4A29">
            <w:pPr>
              <w:tabs>
                <w:tab w:val="left" w:pos="1134"/>
              </w:tabs>
              <w:spacing w:before="120" w:after="120" w:line="264" w:lineRule="auto"/>
              <w:jc w:val="both"/>
              <w:rPr>
                <w:sz w:val="20"/>
              </w:rPr>
            </w:pPr>
            <w:r w:rsidRPr="00165EC8">
              <w:rPr>
                <w:sz w:val="20"/>
              </w:rPr>
              <w:t>3. Qualifying item.</w:t>
            </w:r>
          </w:p>
        </w:tc>
        <w:tc>
          <w:tcPr>
            <w:tcW w:w="1985" w:type="dxa"/>
            <w:tcBorders>
              <w:bottom w:val="single" w:sz="4" w:space="0" w:color="D0CECE"/>
            </w:tcBorders>
          </w:tcPr>
          <w:p w:rsidR="000C3714" w:rsidRPr="00822C3B" w:rsidRDefault="000C3714" w:rsidP="000F433A">
            <w:pPr>
              <w:pStyle w:val="NormalWeb"/>
              <w:spacing w:before="120" w:beforeAutospacing="0" w:after="120" w:afterAutospacing="0"/>
              <w:rPr>
                <w:rFonts w:ascii="Calibri" w:hAnsi="Calibri"/>
                <w:color w:val="000000"/>
                <w:sz w:val="20"/>
                <w:szCs w:val="22"/>
              </w:rPr>
            </w:pPr>
          </w:p>
        </w:tc>
      </w:tr>
      <w:tr w:rsidR="000C3714" w:rsidRPr="00165EC8" w:rsidTr="0079584E">
        <w:trPr>
          <w:cantSplit/>
        </w:trPr>
        <w:tc>
          <w:tcPr>
            <w:tcW w:w="737" w:type="dxa"/>
            <w:tcBorders>
              <w:top w:val="single" w:sz="4" w:space="0" w:color="D0CECE"/>
              <w:bottom w:val="single" w:sz="4" w:space="0" w:color="D0CECE"/>
            </w:tcBorders>
          </w:tcPr>
          <w:p w:rsidR="000C3714" w:rsidRPr="00165EC8" w:rsidRDefault="000C3714" w:rsidP="000A3438">
            <w:pPr>
              <w:spacing w:before="120" w:after="120" w:line="264" w:lineRule="auto"/>
              <w:ind w:left="-108"/>
              <w:rPr>
                <w:rFonts w:ascii="Calibri Light" w:hAnsi="Calibri Light" w:cs="Arial"/>
                <w:sz w:val="17"/>
              </w:rPr>
            </w:pPr>
            <w:r w:rsidRPr="00165EC8">
              <w:rPr>
                <w:rFonts w:ascii="Calibri Light" w:hAnsi="Calibri Light" w:cs="Arial"/>
                <w:sz w:val="17"/>
              </w:rPr>
              <w:t>2.1</w:t>
            </w:r>
          </w:p>
        </w:tc>
        <w:tc>
          <w:tcPr>
            <w:tcW w:w="3374" w:type="dxa"/>
            <w:tcBorders>
              <w:top w:val="single" w:sz="4" w:space="0" w:color="D0CECE"/>
              <w:bottom w:val="single" w:sz="4" w:space="0" w:color="D0CECE"/>
            </w:tcBorders>
          </w:tcPr>
          <w:p w:rsidR="000C3714" w:rsidRPr="00BF194B" w:rsidRDefault="000C3714" w:rsidP="00BF194B">
            <w:pPr>
              <w:pStyle w:val="Heading"/>
              <w:keepNext w:val="0"/>
              <w:spacing w:after="120" w:line="264" w:lineRule="auto"/>
              <w:jc w:val="left"/>
              <w:rPr>
                <w:rFonts w:ascii="Calibri Light" w:hAnsi="Calibri Light" w:cs="Arial"/>
                <w:b w:val="0"/>
                <w:bCs/>
              </w:rPr>
            </w:pPr>
            <w:r w:rsidRPr="000F433A">
              <w:rPr>
                <w:rFonts w:ascii="Calibri Light" w:hAnsi="Calibri Light" w:cs="Arial"/>
                <w:b w:val="0"/>
                <w:bCs/>
                <w:i/>
                <w:szCs w:val="22"/>
              </w:rPr>
              <w:t>Most areas of confusion are over qualifying items</w:t>
            </w:r>
          </w:p>
        </w:tc>
        <w:tc>
          <w:tcPr>
            <w:tcW w:w="4536" w:type="dxa"/>
            <w:tcBorders>
              <w:top w:val="single" w:sz="4" w:space="0" w:color="D0CECE"/>
              <w:bottom w:val="single" w:sz="4" w:space="0" w:color="D0CECE"/>
            </w:tcBorders>
          </w:tcPr>
          <w:p w:rsidR="000C3714" w:rsidRPr="00165EC8" w:rsidRDefault="000C3714" w:rsidP="004E4A29">
            <w:pPr>
              <w:tabs>
                <w:tab w:val="left" w:pos="1134"/>
              </w:tabs>
              <w:spacing w:before="120" w:after="120" w:line="264" w:lineRule="auto"/>
              <w:jc w:val="both"/>
              <w:rPr>
                <w:sz w:val="20"/>
              </w:rPr>
            </w:pPr>
            <w:r w:rsidRPr="00165EC8">
              <w:rPr>
                <w:sz w:val="20"/>
              </w:rPr>
              <w:t>Sometimes this is lack of understanding by employee making the purchase or by supplier – some mistakenly think everything used for med/vet research qualifies.</w:t>
            </w:r>
          </w:p>
          <w:p w:rsidR="000C3714" w:rsidRPr="00165EC8" w:rsidRDefault="000C3714" w:rsidP="004E4A29">
            <w:pPr>
              <w:tabs>
                <w:tab w:val="left" w:pos="1134"/>
              </w:tabs>
              <w:spacing w:before="120" w:after="120" w:line="264" w:lineRule="auto"/>
              <w:jc w:val="both"/>
              <w:rPr>
                <w:sz w:val="20"/>
              </w:rPr>
            </w:pPr>
            <w:r w:rsidRPr="00165EC8">
              <w:rPr>
                <w:sz w:val="20"/>
              </w:rPr>
              <w:t>Usually, however, this is due to constant change and advancement in this area, and complexity and sheer variety and volume of items purchased.</w:t>
            </w:r>
          </w:p>
        </w:tc>
        <w:tc>
          <w:tcPr>
            <w:tcW w:w="1985" w:type="dxa"/>
            <w:tcBorders>
              <w:top w:val="single" w:sz="4" w:space="0" w:color="D0CECE"/>
              <w:bottom w:val="single" w:sz="4" w:space="0" w:color="D0CECE"/>
            </w:tcBorders>
          </w:tcPr>
          <w:p w:rsidR="000C3714" w:rsidRPr="00822C3B" w:rsidRDefault="000C3714" w:rsidP="000F433A">
            <w:pPr>
              <w:pStyle w:val="NormalWeb"/>
              <w:spacing w:before="120" w:beforeAutospacing="0" w:after="120" w:afterAutospacing="0"/>
              <w:rPr>
                <w:rFonts w:ascii="Calibri" w:hAnsi="Calibri"/>
                <w:color w:val="000000"/>
                <w:sz w:val="20"/>
                <w:szCs w:val="22"/>
              </w:rPr>
            </w:pPr>
          </w:p>
        </w:tc>
      </w:tr>
      <w:tr w:rsidR="000C3714" w:rsidRPr="00165EC8" w:rsidTr="0079584E">
        <w:trPr>
          <w:cantSplit/>
        </w:trPr>
        <w:tc>
          <w:tcPr>
            <w:tcW w:w="737" w:type="dxa"/>
            <w:tcBorders>
              <w:top w:val="single" w:sz="4" w:space="0" w:color="D0CECE"/>
            </w:tcBorders>
          </w:tcPr>
          <w:p w:rsidR="000C3714" w:rsidRPr="00165EC8" w:rsidRDefault="000C3714" w:rsidP="000A3438">
            <w:pPr>
              <w:spacing w:before="120" w:after="120" w:line="264" w:lineRule="auto"/>
              <w:ind w:left="-108"/>
              <w:rPr>
                <w:rFonts w:ascii="Calibri Light" w:hAnsi="Calibri Light" w:cs="Arial"/>
                <w:sz w:val="17"/>
              </w:rPr>
            </w:pPr>
            <w:r w:rsidRPr="00165EC8">
              <w:rPr>
                <w:rFonts w:ascii="Calibri Light" w:hAnsi="Calibri Light" w:cs="Arial"/>
                <w:sz w:val="17"/>
              </w:rPr>
              <w:t>2.2</w:t>
            </w:r>
          </w:p>
        </w:tc>
        <w:tc>
          <w:tcPr>
            <w:tcW w:w="3374" w:type="dxa"/>
            <w:tcBorders>
              <w:top w:val="single" w:sz="4" w:space="0" w:color="D0CECE"/>
            </w:tcBorders>
          </w:tcPr>
          <w:p w:rsidR="000C3714" w:rsidRPr="00BF194B" w:rsidRDefault="000C3714" w:rsidP="00BF194B">
            <w:pPr>
              <w:pStyle w:val="Heading"/>
              <w:keepNext w:val="0"/>
              <w:spacing w:after="120" w:line="264" w:lineRule="auto"/>
              <w:jc w:val="left"/>
              <w:rPr>
                <w:rFonts w:ascii="Calibri Light" w:hAnsi="Calibri Light" w:cs="Arial"/>
                <w:b w:val="0"/>
                <w:bCs/>
              </w:rPr>
            </w:pPr>
            <w:r w:rsidRPr="000F433A">
              <w:rPr>
                <w:rFonts w:ascii="Calibri Light" w:hAnsi="Calibri Light" w:cs="Arial"/>
                <w:b w:val="0"/>
                <w:bCs/>
                <w:i/>
                <w:szCs w:val="22"/>
              </w:rPr>
              <w:t>HMRC have some concerns over whether all research treated as qualifying is really medical or veterinary research</w:t>
            </w:r>
            <w:r>
              <w:rPr>
                <w:rFonts w:ascii="Calibri Light" w:hAnsi="Calibri Light" w:cs="Arial"/>
                <w:b w:val="0"/>
                <w:bCs/>
              </w:rPr>
              <w:t xml:space="preserve"> </w:t>
            </w:r>
          </w:p>
        </w:tc>
        <w:tc>
          <w:tcPr>
            <w:tcW w:w="4536" w:type="dxa"/>
            <w:tcBorders>
              <w:top w:val="single" w:sz="4" w:space="0" w:color="D0CECE"/>
            </w:tcBorders>
          </w:tcPr>
          <w:p w:rsidR="000C3714" w:rsidRPr="00165EC8" w:rsidRDefault="000C3714" w:rsidP="004E4A29">
            <w:pPr>
              <w:tabs>
                <w:tab w:val="left" w:pos="1134"/>
              </w:tabs>
              <w:spacing w:before="120" w:after="120" w:line="264" w:lineRule="auto"/>
              <w:jc w:val="both"/>
              <w:rPr>
                <w:sz w:val="20"/>
              </w:rPr>
            </w:pPr>
            <w:r w:rsidRPr="00165EC8">
              <w:rPr>
                <w:sz w:val="20"/>
              </w:rPr>
              <w:t>There may be areas outside of medical/veterinary departments which could be carrying out medical research, but there are some areas which might be treated as medical which are not for VAT relief purposes e.g:</w:t>
            </w:r>
          </w:p>
          <w:p w:rsidR="000C3714" w:rsidRPr="00165EC8" w:rsidRDefault="000C3714" w:rsidP="00594C4D">
            <w:pPr>
              <w:pStyle w:val="ListParagraph"/>
              <w:numPr>
                <w:ilvl w:val="0"/>
                <w:numId w:val="5"/>
              </w:numPr>
              <w:tabs>
                <w:tab w:val="left" w:pos="1134"/>
              </w:tabs>
              <w:spacing w:before="120" w:after="120" w:line="264" w:lineRule="auto"/>
              <w:jc w:val="both"/>
              <w:rPr>
                <w:sz w:val="20"/>
              </w:rPr>
            </w:pPr>
            <w:r w:rsidRPr="00165EC8">
              <w:rPr>
                <w:sz w:val="20"/>
              </w:rPr>
              <w:t>Sports Science is generally research into performance improvement and is not generally considered medical research for VAT relief purposes;</w:t>
            </w:r>
          </w:p>
          <w:p w:rsidR="000C3714" w:rsidRPr="00165EC8" w:rsidRDefault="000C3714" w:rsidP="00594C4D">
            <w:pPr>
              <w:pStyle w:val="ListParagraph"/>
              <w:numPr>
                <w:ilvl w:val="0"/>
                <w:numId w:val="5"/>
              </w:numPr>
              <w:tabs>
                <w:tab w:val="left" w:pos="1134"/>
              </w:tabs>
              <w:spacing w:before="120" w:after="120" w:line="264" w:lineRule="auto"/>
              <w:jc w:val="both"/>
              <w:rPr>
                <w:sz w:val="20"/>
              </w:rPr>
            </w:pPr>
            <w:r w:rsidRPr="00165EC8">
              <w:rPr>
                <w:sz w:val="20"/>
              </w:rPr>
              <w:t>Biomechanical engineers could undertake medical research into improving prosthetic limbs to treat amputees;</w:t>
            </w:r>
          </w:p>
          <w:p w:rsidR="000C3714" w:rsidRPr="00165EC8" w:rsidRDefault="000C3714" w:rsidP="00594C4D">
            <w:pPr>
              <w:pStyle w:val="ListParagraph"/>
              <w:numPr>
                <w:ilvl w:val="0"/>
                <w:numId w:val="5"/>
              </w:numPr>
              <w:tabs>
                <w:tab w:val="left" w:pos="1134"/>
              </w:tabs>
              <w:spacing w:before="120" w:after="120" w:line="264" w:lineRule="auto"/>
              <w:jc w:val="both"/>
              <w:rPr>
                <w:sz w:val="20"/>
              </w:rPr>
            </w:pPr>
            <w:r w:rsidRPr="00165EC8">
              <w:rPr>
                <w:sz w:val="20"/>
              </w:rPr>
              <w:t>Plant scientists/botanists/biologists could undertake medical research by researching areas where specific diseases are prevalent due to plants or insects etc.</w:t>
            </w:r>
          </w:p>
        </w:tc>
        <w:tc>
          <w:tcPr>
            <w:tcW w:w="1985" w:type="dxa"/>
            <w:tcBorders>
              <w:top w:val="single" w:sz="4" w:space="0" w:color="D0CECE"/>
            </w:tcBorders>
          </w:tcPr>
          <w:p w:rsidR="000C3714" w:rsidRPr="00822C3B" w:rsidRDefault="000C3714" w:rsidP="000F433A">
            <w:pPr>
              <w:pStyle w:val="NormalWeb"/>
              <w:spacing w:before="120" w:beforeAutospacing="0" w:after="120" w:afterAutospacing="0"/>
              <w:rPr>
                <w:rFonts w:ascii="Calibri" w:hAnsi="Calibri"/>
                <w:color w:val="000000"/>
                <w:sz w:val="20"/>
                <w:szCs w:val="22"/>
              </w:rPr>
            </w:pPr>
          </w:p>
        </w:tc>
      </w:tr>
      <w:tr w:rsidR="000C3714" w:rsidRPr="00165EC8" w:rsidTr="0079584E">
        <w:trPr>
          <w:cantSplit/>
        </w:trPr>
        <w:tc>
          <w:tcPr>
            <w:tcW w:w="737" w:type="dxa"/>
            <w:tcBorders>
              <w:bottom w:val="single" w:sz="4" w:space="0" w:color="D0CECE"/>
            </w:tcBorders>
          </w:tcPr>
          <w:p w:rsidR="000C3714" w:rsidRPr="00165EC8" w:rsidRDefault="000C3714" w:rsidP="000A3438">
            <w:pPr>
              <w:spacing w:before="120" w:after="120" w:line="264" w:lineRule="auto"/>
              <w:ind w:left="-108"/>
              <w:rPr>
                <w:rFonts w:ascii="Calibri Light" w:hAnsi="Calibri Light" w:cs="Arial"/>
                <w:sz w:val="17"/>
              </w:rPr>
            </w:pPr>
            <w:r w:rsidRPr="00165EC8">
              <w:rPr>
                <w:rFonts w:ascii="Calibri Light" w:hAnsi="Calibri Light" w:cs="Arial"/>
                <w:sz w:val="17"/>
              </w:rPr>
              <w:t>3</w:t>
            </w:r>
          </w:p>
        </w:tc>
        <w:tc>
          <w:tcPr>
            <w:tcW w:w="3374" w:type="dxa"/>
            <w:tcBorders>
              <w:bottom w:val="single" w:sz="4" w:space="0" w:color="D0CECE"/>
            </w:tcBorders>
          </w:tcPr>
          <w:p w:rsidR="000C3714" w:rsidRPr="00165EC8" w:rsidRDefault="000C3714" w:rsidP="009755D7">
            <w:pPr>
              <w:spacing w:before="120" w:after="120"/>
              <w:rPr>
                <w:rFonts w:cs="Arial"/>
                <w:bCs/>
                <w:sz w:val="20"/>
              </w:rPr>
            </w:pPr>
            <w:r w:rsidRPr="00165EC8">
              <w:rPr>
                <w:rFonts w:cs="Arial"/>
                <w:b/>
                <w:bCs/>
              </w:rPr>
              <w:t>HMRC agreed in principle to review Notice 701/6, but do not currently have resource to do this</w:t>
            </w:r>
          </w:p>
        </w:tc>
        <w:tc>
          <w:tcPr>
            <w:tcW w:w="4536" w:type="dxa"/>
            <w:tcBorders>
              <w:bottom w:val="single" w:sz="4" w:space="0" w:color="D0CECE"/>
            </w:tcBorders>
          </w:tcPr>
          <w:p w:rsidR="000C3714" w:rsidRPr="00165EC8" w:rsidRDefault="000C3714" w:rsidP="009755D7">
            <w:pPr>
              <w:tabs>
                <w:tab w:val="left" w:pos="1134"/>
              </w:tabs>
              <w:spacing w:before="120" w:after="120" w:line="264" w:lineRule="auto"/>
              <w:jc w:val="both"/>
              <w:rPr>
                <w:sz w:val="20"/>
              </w:rPr>
            </w:pPr>
            <w:r w:rsidRPr="00165EC8">
              <w:rPr>
                <w:sz w:val="20"/>
              </w:rPr>
              <w:t>HMRC are happy to discuss making improvements to the Notice but have to balance this with the needs of other users of the guidance. They agree that the notice will be updated but cannot commit to a timeline to do this at present.</w:t>
            </w:r>
          </w:p>
        </w:tc>
        <w:tc>
          <w:tcPr>
            <w:tcW w:w="1985" w:type="dxa"/>
            <w:tcBorders>
              <w:bottom w:val="single" w:sz="4" w:space="0" w:color="D0CECE"/>
            </w:tcBorders>
          </w:tcPr>
          <w:p w:rsidR="000C3714" w:rsidRPr="00822C3B" w:rsidRDefault="000C3714" w:rsidP="000F433A">
            <w:pPr>
              <w:pStyle w:val="NormalWeb"/>
              <w:spacing w:before="120" w:beforeAutospacing="0" w:after="120" w:afterAutospacing="0"/>
              <w:rPr>
                <w:sz w:val="20"/>
              </w:rPr>
            </w:pPr>
          </w:p>
        </w:tc>
      </w:tr>
      <w:tr w:rsidR="000C3714" w:rsidRPr="00165EC8" w:rsidTr="0079584E">
        <w:trPr>
          <w:cantSplit/>
        </w:trPr>
        <w:tc>
          <w:tcPr>
            <w:tcW w:w="737" w:type="dxa"/>
            <w:tcBorders>
              <w:top w:val="single" w:sz="4" w:space="0" w:color="D0CECE"/>
              <w:bottom w:val="single" w:sz="4" w:space="0" w:color="D0CECE"/>
            </w:tcBorders>
          </w:tcPr>
          <w:p w:rsidR="000C3714" w:rsidRPr="00165EC8" w:rsidRDefault="000C3714" w:rsidP="000A3438">
            <w:pPr>
              <w:spacing w:before="120" w:after="120" w:line="264" w:lineRule="auto"/>
              <w:ind w:left="-108"/>
              <w:rPr>
                <w:rFonts w:ascii="Calibri Light" w:hAnsi="Calibri Light" w:cs="Arial"/>
                <w:sz w:val="17"/>
              </w:rPr>
            </w:pPr>
            <w:r w:rsidRPr="00165EC8">
              <w:rPr>
                <w:rFonts w:ascii="Calibri Light" w:hAnsi="Calibri Light" w:cs="Arial"/>
                <w:sz w:val="17"/>
              </w:rPr>
              <w:t>3.1</w:t>
            </w:r>
          </w:p>
        </w:tc>
        <w:tc>
          <w:tcPr>
            <w:tcW w:w="3374" w:type="dxa"/>
            <w:tcBorders>
              <w:top w:val="single" w:sz="4" w:space="0" w:color="D0CECE"/>
              <w:bottom w:val="single" w:sz="4" w:space="0" w:color="D0CECE"/>
            </w:tcBorders>
          </w:tcPr>
          <w:p w:rsidR="000C3714" w:rsidRPr="00BF194B" w:rsidRDefault="000C3714" w:rsidP="00B36922">
            <w:pPr>
              <w:pStyle w:val="Heading"/>
              <w:keepNext w:val="0"/>
              <w:spacing w:after="120" w:line="264" w:lineRule="auto"/>
              <w:jc w:val="left"/>
              <w:rPr>
                <w:rFonts w:ascii="Calibri Light" w:hAnsi="Calibri Light" w:cs="Arial"/>
                <w:b w:val="0"/>
                <w:i/>
                <w:iCs/>
                <w:szCs w:val="22"/>
              </w:rPr>
            </w:pPr>
            <w:r>
              <w:rPr>
                <w:rFonts w:ascii="Calibri Light" w:hAnsi="Calibri Light" w:cs="Arial"/>
                <w:b w:val="0"/>
                <w:i/>
                <w:iCs/>
                <w:szCs w:val="22"/>
              </w:rPr>
              <w:t>Definition of scientific equipment/a scientific function needs to be improved</w:t>
            </w:r>
          </w:p>
        </w:tc>
        <w:tc>
          <w:tcPr>
            <w:tcW w:w="4536" w:type="dxa"/>
            <w:tcBorders>
              <w:top w:val="single" w:sz="4" w:space="0" w:color="D0CECE"/>
              <w:bottom w:val="single" w:sz="4" w:space="0" w:color="D0CECE"/>
            </w:tcBorders>
          </w:tcPr>
          <w:p w:rsidR="000C3714" w:rsidRPr="00165EC8" w:rsidRDefault="000C3714" w:rsidP="00B40AB1">
            <w:pPr>
              <w:tabs>
                <w:tab w:val="left" w:pos="1134"/>
              </w:tabs>
              <w:spacing w:before="120" w:after="120" w:line="264" w:lineRule="auto"/>
              <w:jc w:val="both"/>
              <w:rPr>
                <w:sz w:val="20"/>
              </w:rPr>
            </w:pPr>
            <w:r w:rsidRPr="00165EC8">
              <w:rPr>
                <w:sz w:val="20"/>
              </w:rPr>
              <w:t>At present, it could be read to apply to an ordinary ruler, but it was agreed that the measurement undertaken would require more precision equipment than an ordinary ruler in order to qualify.</w:t>
            </w:r>
          </w:p>
        </w:tc>
        <w:tc>
          <w:tcPr>
            <w:tcW w:w="1985" w:type="dxa"/>
            <w:tcBorders>
              <w:top w:val="single" w:sz="4" w:space="0" w:color="D0CECE"/>
              <w:bottom w:val="single" w:sz="4" w:space="0" w:color="D0CECE"/>
            </w:tcBorders>
          </w:tcPr>
          <w:p w:rsidR="000C3714" w:rsidRPr="00165EC8" w:rsidRDefault="000C3714" w:rsidP="000A3438">
            <w:pPr>
              <w:tabs>
                <w:tab w:val="left" w:pos="1134"/>
              </w:tabs>
              <w:spacing w:before="120" w:after="120" w:line="264" w:lineRule="auto"/>
              <w:rPr>
                <w:sz w:val="20"/>
              </w:rPr>
            </w:pPr>
            <w:r w:rsidRPr="00165EC8">
              <w:rPr>
                <w:sz w:val="20"/>
              </w:rPr>
              <w:t>HMRC to consider how best to redraft this, with input from BUFDG &amp; CTG.</w:t>
            </w:r>
            <w:bookmarkStart w:id="0" w:name="_Ref425861720"/>
            <w:r w:rsidRPr="00165EC8">
              <w:rPr>
                <w:rStyle w:val="EndnoteReference"/>
                <w:sz w:val="24"/>
              </w:rPr>
              <w:endnoteReference w:id="1"/>
            </w:r>
            <w:bookmarkEnd w:id="0"/>
            <w:r w:rsidRPr="00165EC8">
              <w:rPr>
                <w:sz w:val="24"/>
              </w:rPr>
              <w:t xml:space="preserve"> </w:t>
            </w:r>
          </w:p>
        </w:tc>
      </w:tr>
      <w:tr w:rsidR="000C3714" w:rsidRPr="00165EC8" w:rsidTr="0079584E">
        <w:trPr>
          <w:cantSplit/>
        </w:trPr>
        <w:tc>
          <w:tcPr>
            <w:tcW w:w="737" w:type="dxa"/>
            <w:tcBorders>
              <w:top w:val="single" w:sz="4" w:space="0" w:color="D0CECE"/>
              <w:bottom w:val="single" w:sz="4" w:space="0" w:color="D0CECE"/>
            </w:tcBorders>
          </w:tcPr>
          <w:p w:rsidR="000C3714" w:rsidRPr="00165EC8" w:rsidRDefault="000C3714" w:rsidP="000A3438">
            <w:pPr>
              <w:spacing w:before="120" w:after="120" w:line="264" w:lineRule="auto"/>
              <w:ind w:left="-108"/>
              <w:rPr>
                <w:rFonts w:ascii="Calibri Light" w:hAnsi="Calibri Light" w:cs="Arial"/>
                <w:sz w:val="17"/>
              </w:rPr>
            </w:pPr>
            <w:r w:rsidRPr="00165EC8">
              <w:rPr>
                <w:rFonts w:ascii="Calibri Light" w:hAnsi="Calibri Light" w:cs="Arial"/>
                <w:sz w:val="17"/>
              </w:rPr>
              <w:t>3.2</w:t>
            </w:r>
          </w:p>
        </w:tc>
        <w:tc>
          <w:tcPr>
            <w:tcW w:w="3374" w:type="dxa"/>
            <w:tcBorders>
              <w:top w:val="single" w:sz="4" w:space="0" w:color="D0CECE"/>
              <w:bottom w:val="single" w:sz="4" w:space="0" w:color="D0CECE"/>
            </w:tcBorders>
          </w:tcPr>
          <w:p w:rsidR="000C3714" w:rsidRPr="00BF194B" w:rsidRDefault="000C3714" w:rsidP="000A3438">
            <w:pPr>
              <w:pStyle w:val="Heading"/>
              <w:keepNext w:val="0"/>
              <w:spacing w:after="120" w:line="264" w:lineRule="auto"/>
              <w:jc w:val="left"/>
              <w:rPr>
                <w:rFonts w:ascii="Calibri Light" w:hAnsi="Calibri Light" w:cs="Arial"/>
                <w:b w:val="0"/>
                <w:i/>
                <w:iCs/>
                <w:szCs w:val="22"/>
              </w:rPr>
            </w:pPr>
            <w:r>
              <w:rPr>
                <w:rFonts w:ascii="Calibri Light" w:hAnsi="Calibri Light" w:cs="Arial"/>
                <w:b w:val="0"/>
                <w:i/>
                <w:iCs/>
                <w:szCs w:val="22"/>
              </w:rPr>
              <w:t>The list of ‘Examples of qualifying goods and services’ at section 4.11 does not state that it is not an exhaustive list</w:t>
            </w:r>
          </w:p>
        </w:tc>
        <w:tc>
          <w:tcPr>
            <w:tcW w:w="4536" w:type="dxa"/>
            <w:tcBorders>
              <w:top w:val="single" w:sz="4" w:space="0" w:color="D0CECE"/>
              <w:bottom w:val="single" w:sz="4" w:space="0" w:color="D0CECE"/>
            </w:tcBorders>
          </w:tcPr>
          <w:p w:rsidR="000C3714" w:rsidRPr="00822C3B" w:rsidRDefault="000C3714" w:rsidP="00594C4D">
            <w:pPr>
              <w:pStyle w:val="NormalWeb"/>
              <w:spacing w:before="120" w:beforeAutospacing="0" w:after="120" w:afterAutospacing="0"/>
              <w:jc w:val="both"/>
              <w:rPr>
                <w:rFonts w:ascii="Calibri" w:hAnsi="Calibri"/>
                <w:color w:val="000000"/>
                <w:sz w:val="20"/>
                <w:szCs w:val="22"/>
              </w:rPr>
            </w:pPr>
            <w:r>
              <w:rPr>
                <w:rFonts w:ascii="Calibri" w:hAnsi="Calibri"/>
                <w:color w:val="000000"/>
                <w:sz w:val="20"/>
                <w:szCs w:val="22"/>
              </w:rPr>
              <w:t>It would help with some disputes with suppliers if the list clearly stated it is not exhaustive (as well as already being titled as ‘Examples’)</w:t>
            </w:r>
          </w:p>
        </w:tc>
        <w:tc>
          <w:tcPr>
            <w:tcW w:w="1985" w:type="dxa"/>
            <w:tcBorders>
              <w:top w:val="single" w:sz="4" w:space="0" w:color="D0CECE"/>
              <w:bottom w:val="single" w:sz="4" w:space="0" w:color="D0CECE"/>
            </w:tcBorders>
          </w:tcPr>
          <w:p w:rsidR="000C3714" w:rsidRPr="00822C3B" w:rsidRDefault="000C3714" w:rsidP="000A3438">
            <w:pPr>
              <w:pStyle w:val="NormalWeb"/>
              <w:spacing w:before="120" w:beforeAutospacing="0" w:after="120" w:afterAutospacing="0"/>
              <w:rPr>
                <w:rFonts w:ascii="Calibri" w:hAnsi="Calibri"/>
                <w:color w:val="000000"/>
                <w:sz w:val="20"/>
                <w:szCs w:val="22"/>
              </w:rPr>
            </w:pPr>
            <w:r>
              <w:rPr>
                <w:rFonts w:ascii="Calibri" w:hAnsi="Calibri"/>
                <w:color w:val="000000"/>
                <w:sz w:val="20"/>
                <w:szCs w:val="22"/>
              </w:rPr>
              <w:t>HMRC to add a note to the list that it is not exhaustive.</w:t>
            </w:r>
            <w:r>
              <w:rPr>
                <w:rFonts w:ascii="Calibri" w:hAnsi="Calibri"/>
                <w:color w:val="000000"/>
                <w:sz w:val="20"/>
                <w:szCs w:val="22"/>
              </w:rPr>
              <w:fldChar w:fldCharType="begin"/>
            </w:r>
            <w:r>
              <w:rPr>
                <w:rFonts w:ascii="Calibri" w:hAnsi="Calibri"/>
                <w:color w:val="000000"/>
                <w:sz w:val="20"/>
                <w:szCs w:val="22"/>
              </w:rPr>
              <w:instrText xml:space="preserve"> NOTEREF _Ref425861720 \f </w:instrText>
            </w:r>
            <w:r>
              <w:rPr>
                <w:rFonts w:ascii="Calibri" w:hAnsi="Calibri"/>
                <w:color w:val="000000"/>
                <w:sz w:val="20"/>
                <w:szCs w:val="22"/>
              </w:rPr>
              <w:fldChar w:fldCharType="separate"/>
            </w:r>
            <w:r w:rsidRPr="000A3438">
              <w:rPr>
                <w:rStyle w:val="EndnoteReference"/>
              </w:rPr>
              <w:t>i</w:t>
            </w:r>
            <w:r>
              <w:rPr>
                <w:rFonts w:ascii="Calibri" w:hAnsi="Calibri"/>
                <w:color w:val="000000"/>
                <w:sz w:val="20"/>
                <w:szCs w:val="22"/>
              </w:rPr>
              <w:fldChar w:fldCharType="end"/>
            </w:r>
            <w:r w:rsidRPr="000A3438">
              <w:rPr>
                <w:rFonts w:ascii="Calibri" w:hAnsi="Calibri"/>
                <w:color w:val="000000"/>
                <w:sz w:val="18"/>
                <w:szCs w:val="22"/>
              </w:rPr>
              <w:t xml:space="preserve"> </w:t>
            </w:r>
          </w:p>
        </w:tc>
      </w:tr>
      <w:tr w:rsidR="000C3714" w:rsidRPr="00165EC8" w:rsidTr="00594C4D">
        <w:trPr>
          <w:cantSplit/>
        </w:trPr>
        <w:tc>
          <w:tcPr>
            <w:tcW w:w="737" w:type="dxa"/>
            <w:tcBorders>
              <w:bottom w:val="single" w:sz="4" w:space="0" w:color="D0CECE"/>
            </w:tcBorders>
          </w:tcPr>
          <w:p w:rsidR="000C3714" w:rsidRPr="00165EC8" w:rsidRDefault="000C3714" w:rsidP="000A3438">
            <w:pPr>
              <w:spacing w:before="120" w:after="120" w:line="264" w:lineRule="auto"/>
              <w:ind w:left="-108"/>
              <w:rPr>
                <w:rFonts w:ascii="Calibri Light" w:hAnsi="Calibri Light" w:cs="Arial"/>
                <w:sz w:val="17"/>
              </w:rPr>
            </w:pPr>
            <w:r w:rsidRPr="00165EC8">
              <w:rPr>
                <w:rFonts w:ascii="Calibri Light" w:hAnsi="Calibri Light" w:cs="Arial"/>
                <w:sz w:val="17"/>
              </w:rPr>
              <w:t>3.3</w:t>
            </w:r>
          </w:p>
        </w:tc>
        <w:tc>
          <w:tcPr>
            <w:tcW w:w="3374" w:type="dxa"/>
            <w:tcBorders>
              <w:bottom w:val="single" w:sz="4" w:space="0" w:color="D0CECE"/>
            </w:tcBorders>
          </w:tcPr>
          <w:p w:rsidR="000C3714" w:rsidRPr="00BF194B" w:rsidRDefault="000C3714" w:rsidP="004E4A29">
            <w:pPr>
              <w:pStyle w:val="Heading"/>
              <w:keepNext w:val="0"/>
              <w:spacing w:after="120" w:line="264" w:lineRule="auto"/>
              <w:jc w:val="left"/>
              <w:rPr>
                <w:rFonts w:ascii="Calibri Light" w:hAnsi="Calibri Light" w:cs="Arial"/>
                <w:b w:val="0"/>
                <w:i/>
                <w:iCs/>
                <w:szCs w:val="22"/>
              </w:rPr>
            </w:pPr>
            <w:r w:rsidRPr="004E4A29">
              <w:rPr>
                <w:rFonts w:ascii="Calibri Light" w:hAnsi="Calibri Light" w:cs="Arial"/>
                <w:b w:val="0"/>
                <w:i/>
                <w:iCs/>
                <w:szCs w:val="22"/>
              </w:rPr>
              <w:t xml:space="preserve">The </w:t>
            </w:r>
            <w:r>
              <w:rPr>
                <w:rFonts w:ascii="Calibri Light" w:hAnsi="Calibri Light" w:cs="Arial"/>
                <w:b w:val="0"/>
                <w:i/>
                <w:iCs/>
                <w:szCs w:val="22"/>
              </w:rPr>
              <w:t xml:space="preserve">first column of the </w:t>
            </w:r>
            <w:r w:rsidRPr="004E4A29">
              <w:rPr>
                <w:rFonts w:ascii="Calibri Light" w:hAnsi="Calibri Light" w:cs="Arial"/>
                <w:b w:val="0"/>
                <w:i/>
                <w:iCs/>
                <w:szCs w:val="22"/>
              </w:rPr>
              <w:t xml:space="preserve">table </w:t>
            </w:r>
            <w:r>
              <w:rPr>
                <w:rFonts w:ascii="Calibri Light" w:hAnsi="Calibri Light" w:cs="Arial"/>
                <w:b w:val="0"/>
                <w:i/>
                <w:iCs/>
                <w:szCs w:val="22"/>
              </w:rPr>
              <w:t>at section 4.11 is not set out clearly.</w:t>
            </w:r>
          </w:p>
        </w:tc>
        <w:tc>
          <w:tcPr>
            <w:tcW w:w="4536" w:type="dxa"/>
            <w:tcBorders>
              <w:bottom w:val="single" w:sz="4" w:space="0" w:color="D0CECE"/>
            </w:tcBorders>
          </w:tcPr>
          <w:p w:rsidR="000C3714" w:rsidRPr="00822C3B" w:rsidRDefault="000C3714" w:rsidP="004E4A29">
            <w:pPr>
              <w:pStyle w:val="NormalWeb"/>
              <w:spacing w:before="120" w:beforeAutospacing="0" w:after="120" w:afterAutospacing="0"/>
              <w:jc w:val="both"/>
              <w:rPr>
                <w:rFonts w:ascii="Calibri" w:hAnsi="Calibri"/>
                <w:color w:val="000000"/>
                <w:sz w:val="20"/>
                <w:szCs w:val="22"/>
              </w:rPr>
            </w:pPr>
            <w:r w:rsidRPr="004E4A29">
              <w:rPr>
                <w:rFonts w:ascii="Calibri" w:hAnsi="Calibri"/>
                <w:color w:val="000000"/>
                <w:sz w:val="20"/>
                <w:szCs w:val="22"/>
              </w:rPr>
              <w:t>The table would read better if the first column was titled ‘Eligible for relief or not’ or ‘Eligible for relief?’ and completed with ‘Yes’ or ‘No’.</w:t>
            </w:r>
            <w:r>
              <w:rPr>
                <w:rFonts w:ascii="Calibri" w:hAnsi="Calibri"/>
                <w:color w:val="000000"/>
                <w:sz w:val="20"/>
                <w:szCs w:val="22"/>
              </w:rPr>
              <w:t xml:space="preserve"> However, the final column ‘Eligible for relief as’ should be retained as it is a helpful reminder of how the relief works i.e. there are specific qualifying categories and any item must fit within one of the categories or it does not qualify.</w:t>
            </w:r>
          </w:p>
        </w:tc>
        <w:tc>
          <w:tcPr>
            <w:tcW w:w="1985" w:type="dxa"/>
            <w:tcBorders>
              <w:bottom w:val="single" w:sz="4" w:space="0" w:color="D0CECE"/>
            </w:tcBorders>
          </w:tcPr>
          <w:p w:rsidR="000C3714" w:rsidRPr="00822C3B" w:rsidRDefault="000C3714" w:rsidP="000A3438">
            <w:pPr>
              <w:pStyle w:val="NormalWeb"/>
              <w:spacing w:before="120" w:beforeAutospacing="0" w:after="120" w:afterAutospacing="0"/>
              <w:rPr>
                <w:rFonts w:ascii="Calibri" w:hAnsi="Calibri"/>
                <w:color w:val="000000"/>
                <w:sz w:val="20"/>
                <w:szCs w:val="22"/>
              </w:rPr>
            </w:pPr>
            <w:r>
              <w:rPr>
                <w:rFonts w:ascii="Calibri" w:hAnsi="Calibri"/>
                <w:color w:val="000000"/>
                <w:sz w:val="20"/>
                <w:szCs w:val="22"/>
              </w:rPr>
              <w:t>HMRC to update the table in this manner.</w:t>
            </w:r>
            <w:r>
              <w:rPr>
                <w:rFonts w:ascii="Calibri" w:hAnsi="Calibri"/>
                <w:color w:val="000000"/>
                <w:sz w:val="20"/>
                <w:szCs w:val="22"/>
              </w:rPr>
              <w:fldChar w:fldCharType="begin"/>
            </w:r>
            <w:r>
              <w:rPr>
                <w:rFonts w:ascii="Calibri" w:hAnsi="Calibri"/>
                <w:color w:val="000000"/>
                <w:sz w:val="20"/>
                <w:szCs w:val="22"/>
              </w:rPr>
              <w:instrText xml:space="preserve"> NOTEREF _Ref425861720 \f </w:instrText>
            </w:r>
            <w:r>
              <w:rPr>
                <w:rFonts w:ascii="Calibri" w:hAnsi="Calibri"/>
                <w:color w:val="000000"/>
                <w:sz w:val="20"/>
                <w:szCs w:val="22"/>
              </w:rPr>
              <w:fldChar w:fldCharType="separate"/>
            </w:r>
            <w:r w:rsidRPr="000A3438">
              <w:rPr>
                <w:rStyle w:val="EndnoteReference"/>
              </w:rPr>
              <w:t>i</w:t>
            </w:r>
            <w:r>
              <w:rPr>
                <w:rFonts w:ascii="Calibri" w:hAnsi="Calibri"/>
                <w:color w:val="000000"/>
                <w:sz w:val="20"/>
                <w:szCs w:val="22"/>
              </w:rPr>
              <w:fldChar w:fldCharType="end"/>
            </w:r>
            <w:r>
              <w:rPr>
                <w:rFonts w:ascii="Calibri" w:hAnsi="Calibri"/>
                <w:color w:val="000000"/>
                <w:sz w:val="20"/>
                <w:szCs w:val="22"/>
              </w:rPr>
              <w:t xml:space="preserve"> </w:t>
            </w:r>
          </w:p>
        </w:tc>
      </w:tr>
      <w:tr w:rsidR="000C3714" w:rsidRPr="00165EC8" w:rsidTr="00594C4D">
        <w:trPr>
          <w:cantSplit/>
        </w:trPr>
        <w:tc>
          <w:tcPr>
            <w:tcW w:w="737" w:type="dxa"/>
            <w:tcBorders>
              <w:top w:val="single" w:sz="4" w:space="0" w:color="D0CECE"/>
            </w:tcBorders>
          </w:tcPr>
          <w:p w:rsidR="000C3714" w:rsidRPr="00165EC8" w:rsidRDefault="000C3714" w:rsidP="000A3438">
            <w:pPr>
              <w:spacing w:before="120" w:after="120" w:line="264" w:lineRule="auto"/>
              <w:ind w:left="-108"/>
              <w:rPr>
                <w:rFonts w:ascii="Calibri Light" w:hAnsi="Calibri Light" w:cs="Arial"/>
                <w:sz w:val="17"/>
              </w:rPr>
            </w:pPr>
            <w:r w:rsidRPr="00165EC8">
              <w:rPr>
                <w:rFonts w:ascii="Calibri Light" w:hAnsi="Calibri Light" w:cs="Arial"/>
                <w:sz w:val="17"/>
              </w:rPr>
              <w:t>3.4</w:t>
            </w:r>
          </w:p>
        </w:tc>
        <w:tc>
          <w:tcPr>
            <w:tcW w:w="3374" w:type="dxa"/>
            <w:tcBorders>
              <w:top w:val="single" w:sz="4" w:space="0" w:color="D0CECE"/>
            </w:tcBorders>
          </w:tcPr>
          <w:p w:rsidR="000C3714" w:rsidRPr="004E4A29" w:rsidRDefault="000C3714" w:rsidP="004E4A29">
            <w:pPr>
              <w:pStyle w:val="Heading"/>
              <w:keepNext w:val="0"/>
              <w:spacing w:after="120" w:line="264" w:lineRule="auto"/>
              <w:jc w:val="left"/>
              <w:rPr>
                <w:rFonts w:ascii="Calibri Light" w:hAnsi="Calibri Light" w:cs="Arial"/>
                <w:b w:val="0"/>
                <w:i/>
                <w:iCs/>
                <w:szCs w:val="22"/>
              </w:rPr>
            </w:pPr>
            <w:r>
              <w:rPr>
                <w:rFonts w:ascii="Calibri Light" w:hAnsi="Calibri Light" w:cs="Arial"/>
                <w:b w:val="0"/>
                <w:i/>
                <w:iCs/>
                <w:szCs w:val="22"/>
              </w:rPr>
              <w:t>VAT relief on purchase of substances is n</w:t>
            </w:r>
            <w:r w:rsidRPr="004E4A29">
              <w:rPr>
                <w:rFonts w:ascii="Calibri Light" w:hAnsi="Calibri Light" w:cs="Arial"/>
                <w:b w:val="0"/>
                <w:i/>
                <w:iCs/>
                <w:szCs w:val="22"/>
              </w:rPr>
              <w:t xml:space="preserve">ot included in Notice 701/6 as this is a charity relief whereas ‘equipment relief’ is not necessarily </w:t>
            </w:r>
            <w:r>
              <w:rPr>
                <w:rFonts w:ascii="Calibri Light" w:hAnsi="Calibri Light" w:cs="Arial"/>
                <w:b w:val="0"/>
                <w:i/>
                <w:iCs/>
                <w:szCs w:val="22"/>
              </w:rPr>
              <w:t xml:space="preserve">only </w:t>
            </w:r>
            <w:r w:rsidRPr="004E4A29">
              <w:rPr>
                <w:rFonts w:ascii="Calibri Light" w:hAnsi="Calibri Light" w:cs="Arial"/>
                <w:b w:val="0"/>
                <w:i/>
                <w:iCs/>
                <w:szCs w:val="22"/>
              </w:rPr>
              <w:t>for charities.</w:t>
            </w:r>
          </w:p>
        </w:tc>
        <w:tc>
          <w:tcPr>
            <w:tcW w:w="4536" w:type="dxa"/>
            <w:tcBorders>
              <w:top w:val="single" w:sz="4" w:space="0" w:color="D0CECE"/>
            </w:tcBorders>
          </w:tcPr>
          <w:p w:rsidR="000C3714" w:rsidRPr="004E4A29" w:rsidRDefault="000C3714" w:rsidP="00E41B20">
            <w:pPr>
              <w:pStyle w:val="NormalWeb"/>
              <w:spacing w:before="120" w:beforeAutospacing="0" w:after="120" w:afterAutospacing="0"/>
              <w:jc w:val="both"/>
              <w:rPr>
                <w:rFonts w:ascii="Calibri" w:hAnsi="Calibri"/>
                <w:color w:val="000000"/>
                <w:sz w:val="20"/>
                <w:szCs w:val="22"/>
              </w:rPr>
            </w:pPr>
            <w:r w:rsidRPr="004E4A29">
              <w:rPr>
                <w:rFonts w:ascii="Calibri" w:hAnsi="Calibri"/>
                <w:color w:val="000000"/>
                <w:sz w:val="20"/>
                <w:szCs w:val="22"/>
              </w:rPr>
              <w:t xml:space="preserve">However, more detailed information in </w:t>
            </w:r>
            <w:r w:rsidRPr="00E41B20">
              <w:rPr>
                <w:rFonts w:ascii="Calibri" w:hAnsi="Calibri"/>
                <w:i/>
                <w:color w:val="000000"/>
                <w:sz w:val="20"/>
                <w:szCs w:val="22"/>
              </w:rPr>
              <w:t>Notice 701/1 Charities</w:t>
            </w:r>
            <w:r>
              <w:rPr>
                <w:rFonts w:ascii="Calibri" w:hAnsi="Calibri"/>
                <w:color w:val="000000"/>
                <w:sz w:val="20"/>
                <w:szCs w:val="22"/>
              </w:rPr>
              <w:t xml:space="preserve"> would be appreciated as per the pre-meeting discussion document e.g. table of common items, and guidance on the phrases ‘directly used for testing’ and ‘for mixing with other substances in the course of that research’. A link to </w:t>
            </w:r>
            <w:r w:rsidRPr="00594C4D">
              <w:rPr>
                <w:rFonts w:ascii="Calibri" w:hAnsi="Calibri"/>
                <w:i/>
                <w:color w:val="000000"/>
                <w:sz w:val="20"/>
                <w:szCs w:val="22"/>
              </w:rPr>
              <w:t>Notice 701/1</w:t>
            </w:r>
            <w:r>
              <w:rPr>
                <w:rFonts w:ascii="Calibri" w:hAnsi="Calibri"/>
                <w:color w:val="000000"/>
                <w:sz w:val="20"/>
                <w:szCs w:val="22"/>
              </w:rPr>
              <w:t xml:space="preserve"> from </w:t>
            </w:r>
            <w:r w:rsidRPr="00594C4D">
              <w:rPr>
                <w:rFonts w:ascii="Calibri" w:hAnsi="Calibri"/>
                <w:i/>
                <w:color w:val="000000"/>
                <w:sz w:val="20"/>
                <w:szCs w:val="22"/>
              </w:rPr>
              <w:t>Notice 701/6</w:t>
            </w:r>
            <w:r>
              <w:rPr>
                <w:rFonts w:ascii="Calibri" w:hAnsi="Calibri"/>
                <w:color w:val="000000"/>
                <w:sz w:val="20"/>
                <w:szCs w:val="22"/>
              </w:rPr>
              <w:t xml:space="preserve"> would help.</w:t>
            </w:r>
          </w:p>
        </w:tc>
        <w:tc>
          <w:tcPr>
            <w:tcW w:w="1985" w:type="dxa"/>
            <w:tcBorders>
              <w:top w:val="single" w:sz="4" w:space="0" w:color="D0CECE"/>
            </w:tcBorders>
          </w:tcPr>
          <w:p w:rsidR="000C3714" w:rsidRDefault="000C3714" w:rsidP="004E4A29">
            <w:pPr>
              <w:pStyle w:val="NormalWeb"/>
              <w:spacing w:before="120" w:beforeAutospacing="0" w:after="120" w:afterAutospacing="0"/>
              <w:rPr>
                <w:rFonts w:ascii="Calibri" w:hAnsi="Calibri"/>
                <w:color w:val="000000"/>
                <w:sz w:val="20"/>
                <w:szCs w:val="22"/>
              </w:rPr>
            </w:pPr>
            <w:r>
              <w:rPr>
                <w:rFonts w:ascii="Calibri" w:hAnsi="Calibri"/>
                <w:color w:val="000000"/>
                <w:sz w:val="20"/>
                <w:szCs w:val="22"/>
              </w:rPr>
              <w:t>HMRC to consider this and balance this request with the needs of other users of the Notice.</w:t>
            </w:r>
          </w:p>
          <w:p w:rsidR="000C3714" w:rsidRDefault="000C3714" w:rsidP="00E41B20">
            <w:pPr>
              <w:pStyle w:val="NormalWeb"/>
              <w:spacing w:before="120" w:beforeAutospacing="0" w:after="120" w:afterAutospacing="0"/>
              <w:rPr>
                <w:rFonts w:ascii="Calibri" w:hAnsi="Calibri"/>
                <w:color w:val="000000"/>
                <w:sz w:val="20"/>
                <w:szCs w:val="22"/>
              </w:rPr>
            </w:pPr>
            <w:r w:rsidRPr="00E41B20">
              <w:rPr>
                <w:rFonts w:ascii="Calibri" w:hAnsi="Calibri"/>
                <w:color w:val="000000"/>
                <w:sz w:val="20"/>
                <w:szCs w:val="22"/>
              </w:rPr>
              <w:t>MS to check whether there is some specific restriction around genetically engineered ani</w:t>
            </w:r>
            <w:r>
              <w:rPr>
                <w:rFonts w:ascii="Calibri" w:hAnsi="Calibri"/>
                <w:color w:val="000000"/>
                <w:sz w:val="20"/>
                <w:szCs w:val="22"/>
              </w:rPr>
              <w:t>mals/material</w:t>
            </w:r>
            <w:r w:rsidRPr="00E41B20">
              <w:rPr>
                <w:rFonts w:ascii="Calibri" w:hAnsi="Calibri"/>
                <w:color w:val="000000"/>
                <w:sz w:val="20"/>
                <w:szCs w:val="22"/>
              </w:rPr>
              <w:t>.</w:t>
            </w:r>
          </w:p>
          <w:p w:rsidR="000C3714" w:rsidRDefault="000C3714" w:rsidP="005667E1">
            <w:pPr>
              <w:pStyle w:val="NormalWeb"/>
              <w:spacing w:before="120" w:beforeAutospacing="0" w:after="120" w:afterAutospacing="0"/>
              <w:rPr>
                <w:rFonts w:ascii="Calibri" w:hAnsi="Calibri"/>
                <w:color w:val="000000"/>
                <w:sz w:val="20"/>
                <w:szCs w:val="22"/>
              </w:rPr>
            </w:pPr>
            <w:r>
              <w:rPr>
                <w:rFonts w:ascii="Calibri" w:hAnsi="Calibri"/>
                <w:color w:val="000000"/>
                <w:sz w:val="20"/>
                <w:szCs w:val="22"/>
              </w:rPr>
              <w:t xml:space="preserve">HMRC to consider including a hyperlink in </w:t>
            </w:r>
            <w:r w:rsidRPr="00594C4D">
              <w:rPr>
                <w:rFonts w:ascii="Calibri" w:hAnsi="Calibri"/>
                <w:i/>
                <w:color w:val="000000"/>
                <w:sz w:val="20"/>
                <w:szCs w:val="22"/>
              </w:rPr>
              <w:t>Notice 701/6</w:t>
            </w:r>
            <w:r>
              <w:rPr>
                <w:rFonts w:ascii="Calibri" w:hAnsi="Calibri"/>
                <w:color w:val="000000"/>
                <w:sz w:val="20"/>
                <w:szCs w:val="22"/>
              </w:rPr>
              <w:t xml:space="preserve"> where </w:t>
            </w:r>
            <w:r w:rsidRPr="00594C4D">
              <w:rPr>
                <w:rFonts w:ascii="Calibri" w:hAnsi="Calibri"/>
                <w:i/>
                <w:color w:val="000000"/>
                <w:sz w:val="20"/>
                <w:szCs w:val="22"/>
              </w:rPr>
              <w:t>Notice 701/1</w:t>
            </w:r>
            <w:r>
              <w:rPr>
                <w:rFonts w:ascii="Calibri" w:hAnsi="Calibri"/>
                <w:color w:val="000000"/>
                <w:sz w:val="20"/>
                <w:szCs w:val="22"/>
              </w:rPr>
              <w:t xml:space="preserve"> is mentioned.</w:t>
            </w:r>
          </w:p>
        </w:tc>
      </w:tr>
      <w:tr w:rsidR="000C3714" w:rsidRPr="00165EC8" w:rsidTr="0079584E">
        <w:trPr>
          <w:cantSplit/>
        </w:trPr>
        <w:tc>
          <w:tcPr>
            <w:tcW w:w="737" w:type="dxa"/>
          </w:tcPr>
          <w:p w:rsidR="000C3714" w:rsidRPr="00165EC8" w:rsidRDefault="000C3714" w:rsidP="000A3438">
            <w:pPr>
              <w:spacing w:before="120" w:after="120" w:line="264" w:lineRule="auto"/>
              <w:ind w:left="-108"/>
              <w:rPr>
                <w:rFonts w:ascii="Calibri Light" w:hAnsi="Calibri Light" w:cs="Arial"/>
                <w:sz w:val="17"/>
              </w:rPr>
            </w:pPr>
            <w:r w:rsidRPr="00165EC8">
              <w:rPr>
                <w:rFonts w:ascii="Calibri Light" w:hAnsi="Calibri Light" w:cs="Arial"/>
                <w:sz w:val="17"/>
              </w:rPr>
              <w:t>4</w:t>
            </w:r>
          </w:p>
        </w:tc>
        <w:tc>
          <w:tcPr>
            <w:tcW w:w="3374" w:type="dxa"/>
          </w:tcPr>
          <w:p w:rsidR="000C3714" w:rsidRPr="00165EC8" w:rsidRDefault="000C3714" w:rsidP="004E4A29">
            <w:pPr>
              <w:spacing w:before="120" w:after="120"/>
              <w:rPr>
                <w:rFonts w:cs="Arial"/>
                <w:b/>
                <w:bCs/>
              </w:rPr>
            </w:pPr>
            <w:r w:rsidRPr="00165EC8">
              <w:rPr>
                <w:rFonts w:cs="Arial"/>
                <w:b/>
                <w:bCs/>
              </w:rPr>
              <w:t>Specific items in the example list were discussed as per the appendix to these minutes</w:t>
            </w:r>
          </w:p>
        </w:tc>
        <w:tc>
          <w:tcPr>
            <w:tcW w:w="4536" w:type="dxa"/>
          </w:tcPr>
          <w:p w:rsidR="000C3714" w:rsidRPr="00822C3B" w:rsidRDefault="000C3714" w:rsidP="00BF194B">
            <w:pPr>
              <w:pStyle w:val="NormalWeb"/>
              <w:spacing w:before="120" w:beforeAutospacing="0" w:after="120" w:afterAutospacing="0"/>
              <w:jc w:val="both"/>
              <w:rPr>
                <w:rFonts w:ascii="Calibri" w:hAnsi="Calibri"/>
                <w:color w:val="000000"/>
                <w:sz w:val="20"/>
                <w:szCs w:val="22"/>
              </w:rPr>
            </w:pPr>
            <w:r>
              <w:rPr>
                <w:rFonts w:ascii="Calibri" w:hAnsi="Calibri"/>
                <w:color w:val="000000"/>
                <w:sz w:val="20"/>
                <w:szCs w:val="22"/>
              </w:rPr>
              <w:t>Please see the attached appendix for details</w:t>
            </w:r>
          </w:p>
        </w:tc>
        <w:tc>
          <w:tcPr>
            <w:tcW w:w="1985" w:type="dxa"/>
          </w:tcPr>
          <w:p w:rsidR="000C3714" w:rsidRDefault="000C3714" w:rsidP="000F433A">
            <w:pPr>
              <w:pStyle w:val="NormalWeb"/>
              <w:spacing w:before="120" w:beforeAutospacing="0" w:after="120" w:afterAutospacing="0"/>
              <w:rPr>
                <w:rFonts w:ascii="Calibri" w:hAnsi="Calibri"/>
                <w:color w:val="000000"/>
                <w:sz w:val="20"/>
                <w:szCs w:val="22"/>
              </w:rPr>
            </w:pPr>
            <w:r>
              <w:rPr>
                <w:rFonts w:ascii="Calibri" w:hAnsi="Calibri"/>
                <w:color w:val="000000"/>
                <w:sz w:val="20"/>
                <w:szCs w:val="22"/>
              </w:rPr>
              <w:t>AD to provide further information on Howie-style lab coats.</w:t>
            </w:r>
          </w:p>
          <w:p w:rsidR="000C3714" w:rsidRDefault="000C3714" w:rsidP="000F433A">
            <w:pPr>
              <w:pStyle w:val="NormalWeb"/>
              <w:spacing w:before="120" w:beforeAutospacing="0" w:after="120" w:afterAutospacing="0"/>
              <w:rPr>
                <w:rFonts w:ascii="Calibri" w:hAnsi="Calibri"/>
                <w:color w:val="000000"/>
                <w:sz w:val="20"/>
                <w:szCs w:val="22"/>
              </w:rPr>
            </w:pPr>
            <w:r>
              <w:rPr>
                <w:rFonts w:ascii="Calibri" w:hAnsi="Calibri"/>
                <w:color w:val="000000"/>
                <w:sz w:val="20"/>
                <w:szCs w:val="22"/>
              </w:rPr>
              <w:t>AD to provide further information on the design intention re air showers.</w:t>
            </w:r>
          </w:p>
          <w:p w:rsidR="000C3714" w:rsidRDefault="000C3714" w:rsidP="000F433A">
            <w:pPr>
              <w:pStyle w:val="NormalWeb"/>
              <w:spacing w:before="120" w:beforeAutospacing="0" w:after="120" w:afterAutospacing="0"/>
              <w:rPr>
                <w:rFonts w:ascii="Calibri" w:hAnsi="Calibri"/>
                <w:color w:val="000000"/>
                <w:sz w:val="20"/>
                <w:szCs w:val="22"/>
              </w:rPr>
            </w:pPr>
            <w:r>
              <w:rPr>
                <w:rFonts w:ascii="Calibri" w:hAnsi="Calibri"/>
                <w:color w:val="000000"/>
                <w:sz w:val="20"/>
                <w:szCs w:val="22"/>
              </w:rPr>
              <w:t>AD to provide further information on animal bottle washers.</w:t>
            </w:r>
          </w:p>
          <w:p w:rsidR="000C3714" w:rsidRDefault="000C3714" w:rsidP="000F433A">
            <w:pPr>
              <w:pStyle w:val="NormalWeb"/>
              <w:spacing w:before="120" w:beforeAutospacing="0" w:after="120" w:afterAutospacing="0"/>
              <w:rPr>
                <w:rFonts w:ascii="Calibri" w:hAnsi="Calibri"/>
                <w:color w:val="000000"/>
                <w:sz w:val="20"/>
                <w:szCs w:val="22"/>
              </w:rPr>
            </w:pPr>
            <w:r>
              <w:rPr>
                <w:rFonts w:ascii="Calibri" w:hAnsi="Calibri"/>
                <w:color w:val="000000"/>
                <w:sz w:val="20"/>
                <w:szCs w:val="22"/>
              </w:rPr>
              <w:t>HMRC to check position re rulings on sharps bins.</w:t>
            </w:r>
          </w:p>
          <w:p w:rsidR="000C3714" w:rsidRDefault="000C3714" w:rsidP="000F433A">
            <w:pPr>
              <w:pStyle w:val="NormalWeb"/>
              <w:spacing w:before="120" w:beforeAutospacing="0" w:after="120" w:afterAutospacing="0"/>
              <w:rPr>
                <w:rFonts w:ascii="Calibri" w:hAnsi="Calibri"/>
                <w:color w:val="000000"/>
                <w:sz w:val="20"/>
                <w:szCs w:val="22"/>
              </w:rPr>
            </w:pPr>
            <w:r>
              <w:rPr>
                <w:rFonts w:ascii="Calibri" w:hAnsi="Calibri"/>
                <w:color w:val="000000"/>
                <w:sz w:val="20"/>
                <w:szCs w:val="22"/>
              </w:rPr>
              <w:t>HMRC to consider DVD players/ recorders/discs.</w:t>
            </w:r>
          </w:p>
          <w:p w:rsidR="000C3714" w:rsidRPr="00822C3B" w:rsidRDefault="000C3714" w:rsidP="000A3438">
            <w:pPr>
              <w:pStyle w:val="NormalWeb"/>
              <w:spacing w:before="120" w:beforeAutospacing="0" w:after="120" w:afterAutospacing="0"/>
              <w:rPr>
                <w:rFonts w:ascii="Calibri" w:hAnsi="Calibri"/>
                <w:color w:val="000000"/>
                <w:sz w:val="20"/>
                <w:szCs w:val="22"/>
              </w:rPr>
            </w:pPr>
            <w:r>
              <w:rPr>
                <w:rFonts w:ascii="Calibri" w:hAnsi="Calibri"/>
                <w:color w:val="000000"/>
                <w:sz w:val="20"/>
                <w:szCs w:val="22"/>
              </w:rPr>
              <w:t>HMRC to incorporate the qualifying and non-qualifying items on the appendix into the (current) section 4.11 table.</w:t>
            </w:r>
            <w:r>
              <w:rPr>
                <w:rFonts w:ascii="Calibri" w:hAnsi="Calibri"/>
                <w:color w:val="000000"/>
                <w:sz w:val="20"/>
                <w:szCs w:val="22"/>
              </w:rPr>
              <w:fldChar w:fldCharType="begin"/>
            </w:r>
            <w:r>
              <w:rPr>
                <w:rFonts w:ascii="Calibri" w:hAnsi="Calibri"/>
                <w:color w:val="000000"/>
                <w:sz w:val="20"/>
                <w:szCs w:val="22"/>
              </w:rPr>
              <w:instrText xml:space="preserve"> NOTEREF _Ref425861720 \f </w:instrText>
            </w:r>
            <w:r>
              <w:rPr>
                <w:rFonts w:ascii="Calibri" w:hAnsi="Calibri"/>
                <w:color w:val="000000"/>
                <w:sz w:val="20"/>
                <w:szCs w:val="22"/>
              </w:rPr>
              <w:fldChar w:fldCharType="separate"/>
            </w:r>
            <w:r w:rsidRPr="000A3438">
              <w:rPr>
                <w:rStyle w:val="EndnoteReference"/>
              </w:rPr>
              <w:t>i</w:t>
            </w:r>
            <w:r>
              <w:rPr>
                <w:rFonts w:ascii="Calibri" w:hAnsi="Calibri"/>
                <w:color w:val="000000"/>
                <w:sz w:val="20"/>
                <w:szCs w:val="22"/>
              </w:rPr>
              <w:fldChar w:fldCharType="end"/>
            </w:r>
            <w:r>
              <w:rPr>
                <w:rFonts w:ascii="Calibri" w:hAnsi="Calibri"/>
                <w:color w:val="000000"/>
                <w:sz w:val="20"/>
                <w:szCs w:val="22"/>
              </w:rPr>
              <w:t xml:space="preserve"> </w:t>
            </w:r>
          </w:p>
        </w:tc>
      </w:tr>
      <w:tr w:rsidR="000C3714" w:rsidRPr="00165EC8" w:rsidTr="0079584E">
        <w:trPr>
          <w:cantSplit/>
        </w:trPr>
        <w:tc>
          <w:tcPr>
            <w:tcW w:w="737" w:type="dxa"/>
            <w:tcBorders>
              <w:bottom w:val="single" w:sz="4" w:space="0" w:color="D0CECE"/>
            </w:tcBorders>
          </w:tcPr>
          <w:p w:rsidR="000C3714" w:rsidRPr="00165EC8" w:rsidRDefault="000C3714" w:rsidP="000A3438">
            <w:pPr>
              <w:spacing w:before="120" w:after="120" w:line="264" w:lineRule="auto"/>
              <w:ind w:left="-108"/>
              <w:rPr>
                <w:rFonts w:ascii="Calibri Light" w:hAnsi="Calibri Light" w:cs="Arial"/>
                <w:sz w:val="17"/>
              </w:rPr>
            </w:pPr>
            <w:r w:rsidRPr="00165EC8">
              <w:rPr>
                <w:rFonts w:ascii="Calibri Light" w:hAnsi="Calibri Light" w:cs="Arial"/>
                <w:sz w:val="17"/>
              </w:rPr>
              <w:t>5</w:t>
            </w:r>
          </w:p>
        </w:tc>
        <w:tc>
          <w:tcPr>
            <w:tcW w:w="3374" w:type="dxa"/>
            <w:tcBorders>
              <w:bottom w:val="single" w:sz="4" w:space="0" w:color="D0CECE"/>
            </w:tcBorders>
          </w:tcPr>
          <w:p w:rsidR="000C3714" w:rsidRPr="00165EC8" w:rsidRDefault="000C3714" w:rsidP="00D427E8">
            <w:pPr>
              <w:spacing w:before="120" w:after="120"/>
              <w:rPr>
                <w:rFonts w:ascii="Calibri Light" w:hAnsi="Calibri Light" w:cs="Arial"/>
                <w:b/>
                <w:i/>
                <w:iCs/>
              </w:rPr>
            </w:pPr>
            <w:r w:rsidRPr="00165EC8">
              <w:rPr>
                <w:rFonts w:cs="Arial"/>
                <w:b/>
                <w:bCs/>
              </w:rPr>
              <w:t>Guidance around certificates could also be improved for suppliers</w:t>
            </w:r>
          </w:p>
        </w:tc>
        <w:tc>
          <w:tcPr>
            <w:tcW w:w="4536" w:type="dxa"/>
            <w:tcBorders>
              <w:bottom w:val="single" w:sz="4" w:space="0" w:color="D0CECE"/>
            </w:tcBorders>
          </w:tcPr>
          <w:p w:rsidR="000C3714" w:rsidRPr="00822C3B" w:rsidRDefault="000C3714" w:rsidP="00594C4D">
            <w:pPr>
              <w:pStyle w:val="NormalWeb"/>
              <w:spacing w:before="120" w:beforeAutospacing="0" w:after="120" w:afterAutospacing="0"/>
              <w:jc w:val="both"/>
              <w:rPr>
                <w:rFonts w:ascii="Calibri" w:hAnsi="Calibri"/>
                <w:color w:val="000000"/>
                <w:sz w:val="20"/>
                <w:szCs w:val="22"/>
              </w:rPr>
            </w:pPr>
            <w:r>
              <w:rPr>
                <w:rFonts w:ascii="Calibri" w:hAnsi="Calibri"/>
                <w:color w:val="000000"/>
                <w:sz w:val="20"/>
                <w:szCs w:val="22"/>
              </w:rPr>
              <w:t>Many suppliers are still not clear that the certificates given by HMRC are only examples, that electronic certificates can be used, that certificates don’t have to be signed and that if a purchase order is very clear which items do/don’t qualify for relief and includes all the necessary information for a certificate these can also be accepted.</w:t>
            </w:r>
          </w:p>
        </w:tc>
        <w:tc>
          <w:tcPr>
            <w:tcW w:w="1985" w:type="dxa"/>
            <w:tcBorders>
              <w:bottom w:val="single" w:sz="4" w:space="0" w:color="D0CECE"/>
            </w:tcBorders>
          </w:tcPr>
          <w:p w:rsidR="000C3714" w:rsidRPr="00822C3B" w:rsidRDefault="000C3714" w:rsidP="000A3438">
            <w:pPr>
              <w:pStyle w:val="NormalWeb"/>
              <w:spacing w:before="120" w:beforeAutospacing="0" w:after="120" w:afterAutospacing="0"/>
              <w:rPr>
                <w:rFonts w:ascii="Calibri" w:hAnsi="Calibri"/>
                <w:color w:val="000000"/>
                <w:sz w:val="20"/>
                <w:szCs w:val="22"/>
              </w:rPr>
            </w:pPr>
            <w:r>
              <w:rPr>
                <w:rFonts w:ascii="Calibri" w:hAnsi="Calibri"/>
                <w:color w:val="000000"/>
                <w:sz w:val="20"/>
                <w:szCs w:val="22"/>
              </w:rPr>
              <w:t>HMRC to bring certificate guidance up to date.</w:t>
            </w:r>
            <w:r>
              <w:rPr>
                <w:rFonts w:ascii="Calibri" w:hAnsi="Calibri"/>
                <w:color w:val="000000"/>
                <w:sz w:val="20"/>
                <w:szCs w:val="22"/>
              </w:rPr>
              <w:fldChar w:fldCharType="begin"/>
            </w:r>
            <w:r>
              <w:rPr>
                <w:rFonts w:ascii="Calibri" w:hAnsi="Calibri"/>
                <w:color w:val="000000"/>
                <w:sz w:val="20"/>
                <w:szCs w:val="22"/>
              </w:rPr>
              <w:instrText xml:space="preserve"> NOTEREF _Ref425861720 \f </w:instrText>
            </w:r>
            <w:r>
              <w:rPr>
                <w:rFonts w:ascii="Calibri" w:hAnsi="Calibri"/>
                <w:color w:val="000000"/>
                <w:sz w:val="20"/>
                <w:szCs w:val="22"/>
              </w:rPr>
              <w:fldChar w:fldCharType="separate"/>
            </w:r>
            <w:r w:rsidRPr="000A3438">
              <w:rPr>
                <w:rStyle w:val="EndnoteReference"/>
              </w:rPr>
              <w:t>i</w:t>
            </w:r>
            <w:r>
              <w:rPr>
                <w:rFonts w:ascii="Calibri" w:hAnsi="Calibri"/>
                <w:color w:val="000000"/>
                <w:sz w:val="20"/>
                <w:szCs w:val="22"/>
              </w:rPr>
              <w:fldChar w:fldCharType="end"/>
            </w:r>
          </w:p>
        </w:tc>
      </w:tr>
      <w:tr w:rsidR="000C3714" w:rsidRPr="00165EC8" w:rsidTr="00594C4D">
        <w:trPr>
          <w:cantSplit/>
        </w:trPr>
        <w:tc>
          <w:tcPr>
            <w:tcW w:w="737" w:type="dxa"/>
          </w:tcPr>
          <w:p w:rsidR="000C3714" w:rsidRPr="00165EC8" w:rsidRDefault="000C3714" w:rsidP="000A3438">
            <w:pPr>
              <w:spacing w:before="120" w:after="120" w:line="264" w:lineRule="auto"/>
              <w:ind w:left="-108"/>
              <w:rPr>
                <w:rFonts w:ascii="Calibri Light" w:hAnsi="Calibri Light" w:cs="Arial"/>
                <w:sz w:val="17"/>
              </w:rPr>
            </w:pPr>
            <w:r w:rsidRPr="00165EC8">
              <w:rPr>
                <w:rFonts w:ascii="Calibri Light" w:hAnsi="Calibri Light" w:cs="Arial"/>
                <w:sz w:val="17"/>
              </w:rPr>
              <w:t>5.1</w:t>
            </w:r>
          </w:p>
        </w:tc>
        <w:tc>
          <w:tcPr>
            <w:tcW w:w="3374" w:type="dxa"/>
          </w:tcPr>
          <w:p w:rsidR="000C3714" w:rsidRDefault="000C3714" w:rsidP="000A3438">
            <w:pPr>
              <w:pStyle w:val="Heading"/>
              <w:keepNext w:val="0"/>
              <w:spacing w:after="120" w:line="264" w:lineRule="auto"/>
              <w:jc w:val="left"/>
              <w:rPr>
                <w:rFonts w:ascii="Calibri Light" w:hAnsi="Calibri Light" w:cs="Arial"/>
                <w:b w:val="0"/>
                <w:i/>
                <w:iCs/>
                <w:szCs w:val="22"/>
              </w:rPr>
            </w:pPr>
            <w:r>
              <w:rPr>
                <w:rFonts w:ascii="Calibri Light" w:hAnsi="Calibri Light" w:cs="Arial"/>
                <w:b w:val="0"/>
                <w:i/>
                <w:iCs/>
                <w:szCs w:val="22"/>
              </w:rPr>
              <w:t>Certificates are currently named A to M, but you can’t tell which is for what until you have clicked through to it.</w:t>
            </w:r>
          </w:p>
          <w:p w:rsidR="000C3714" w:rsidRPr="00165EC8" w:rsidRDefault="000C3714" w:rsidP="0079584E"/>
        </w:tc>
        <w:tc>
          <w:tcPr>
            <w:tcW w:w="4536" w:type="dxa"/>
          </w:tcPr>
          <w:p w:rsidR="000C3714" w:rsidRPr="00822C3B" w:rsidRDefault="000C3714" w:rsidP="00BF194B">
            <w:pPr>
              <w:pStyle w:val="NormalWeb"/>
              <w:spacing w:before="120" w:beforeAutospacing="0" w:after="120" w:afterAutospacing="0"/>
              <w:jc w:val="both"/>
              <w:rPr>
                <w:rFonts w:ascii="Calibri" w:hAnsi="Calibri"/>
                <w:color w:val="000000"/>
                <w:sz w:val="20"/>
                <w:szCs w:val="22"/>
              </w:rPr>
            </w:pPr>
            <w:r>
              <w:rPr>
                <w:rFonts w:ascii="Calibri" w:hAnsi="Calibri"/>
                <w:color w:val="000000"/>
                <w:sz w:val="20"/>
                <w:szCs w:val="22"/>
              </w:rPr>
              <w:t>It would be helpful for the name to indicate what it is for to save time selecting the correct certificate.</w:t>
            </w:r>
          </w:p>
        </w:tc>
        <w:tc>
          <w:tcPr>
            <w:tcW w:w="1985" w:type="dxa"/>
          </w:tcPr>
          <w:p w:rsidR="000C3714" w:rsidRPr="00822C3B" w:rsidRDefault="000C3714" w:rsidP="000F433A">
            <w:pPr>
              <w:pStyle w:val="NormalWeb"/>
              <w:spacing w:before="120" w:beforeAutospacing="0" w:after="120" w:afterAutospacing="0"/>
              <w:rPr>
                <w:rFonts w:ascii="Calibri" w:hAnsi="Calibri"/>
                <w:color w:val="000000"/>
                <w:sz w:val="20"/>
                <w:szCs w:val="22"/>
              </w:rPr>
            </w:pPr>
            <w:r>
              <w:rPr>
                <w:rFonts w:ascii="Calibri" w:hAnsi="Calibri"/>
                <w:color w:val="000000"/>
                <w:sz w:val="20"/>
                <w:szCs w:val="22"/>
              </w:rPr>
              <w:t>HMRC to consider renaming the certificates/links to create an index of them.</w:t>
            </w:r>
            <w:r>
              <w:rPr>
                <w:rFonts w:ascii="Calibri" w:hAnsi="Calibri"/>
                <w:color w:val="000000"/>
                <w:sz w:val="20"/>
                <w:szCs w:val="22"/>
              </w:rPr>
              <w:fldChar w:fldCharType="begin"/>
            </w:r>
            <w:r>
              <w:rPr>
                <w:rFonts w:ascii="Calibri" w:hAnsi="Calibri"/>
                <w:color w:val="000000"/>
                <w:sz w:val="20"/>
                <w:szCs w:val="22"/>
              </w:rPr>
              <w:instrText xml:space="preserve"> NOTEREF _Ref425861720 \f </w:instrText>
            </w:r>
            <w:r>
              <w:rPr>
                <w:rFonts w:ascii="Calibri" w:hAnsi="Calibri"/>
                <w:color w:val="000000"/>
                <w:sz w:val="20"/>
                <w:szCs w:val="22"/>
              </w:rPr>
              <w:fldChar w:fldCharType="separate"/>
            </w:r>
            <w:r w:rsidRPr="000A3438">
              <w:rPr>
                <w:rStyle w:val="EndnoteReference"/>
              </w:rPr>
              <w:t>i</w:t>
            </w:r>
            <w:r>
              <w:rPr>
                <w:rFonts w:ascii="Calibri" w:hAnsi="Calibri"/>
                <w:color w:val="000000"/>
                <w:sz w:val="20"/>
                <w:szCs w:val="22"/>
              </w:rPr>
              <w:fldChar w:fldCharType="end"/>
            </w:r>
          </w:p>
        </w:tc>
      </w:tr>
      <w:tr w:rsidR="000C3714" w:rsidRPr="00165EC8" w:rsidTr="00594C4D">
        <w:trPr>
          <w:cantSplit/>
        </w:trPr>
        <w:tc>
          <w:tcPr>
            <w:tcW w:w="737" w:type="dxa"/>
            <w:tcBorders>
              <w:bottom w:val="single" w:sz="4" w:space="0" w:color="D0CECE"/>
            </w:tcBorders>
          </w:tcPr>
          <w:p w:rsidR="000C3714" w:rsidRPr="00165EC8" w:rsidRDefault="000C3714" w:rsidP="000A3438">
            <w:pPr>
              <w:spacing w:before="120" w:after="120" w:line="264" w:lineRule="auto"/>
              <w:ind w:left="-108"/>
              <w:rPr>
                <w:rFonts w:ascii="Calibri Light" w:hAnsi="Calibri Light" w:cs="Arial"/>
                <w:sz w:val="17"/>
              </w:rPr>
            </w:pPr>
            <w:r w:rsidRPr="00165EC8">
              <w:rPr>
                <w:rFonts w:ascii="Calibri Light" w:hAnsi="Calibri Light" w:cs="Arial"/>
                <w:sz w:val="17"/>
              </w:rPr>
              <w:t>6</w:t>
            </w:r>
          </w:p>
        </w:tc>
        <w:tc>
          <w:tcPr>
            <w:tcW w:w="3374" w:type="dxa"/>
            <w:tcBorders>
              <w:bottom w:val="single" w:sz="4" w:space="0" w:color="D0CECE"/>
            </w:tcBorders>
          </w:tcPr>
          <w:p w:rsidR="000C3714" w:rsidRPr="00165EC8" w:rsidRDefault="000C3714" w:rsidP="0079584E">
            <w:pPr>
              <w:spacing w:before="120" w:after="120"/>
              <w:rPr>
                <w:rFonts w:ascii="Calibri Light" w:hAnsi="Calibri Light" w:cs="Arial"/>
                <w:b/>
                <w:i/>
                <w:iCs/>
              </w:rPr>
            </w:pPr>
            <w:r w:rsidRPr="00165EC8">
              <w:rPr>
                <w:rFonts w:cs="Arial"/>
                <w:b/>
                <w:bCs/>
              </w:rPr>
              <w:t>Miscellaneous points discussed</w:t>
            </w:r>
          </w:p>
        </w:tc>
        <w:tc>
          <w:tcPr>
            <w:tcW w:w="4536" w:type="dxa"/>
            <w:tcBorders>
              <w:bottom w:val="single" w:sz="4" w:space="0" w:color="D0CECE"/>
            </w:tcBorders>
          </w:tcPr>
          <w:p w:rsidR="000C3714" w:rsidRPr="00822C3B" w:rsidRDefault="000C3714" w:rsidP="0079584E">
            <w:pPr>
              <w:pStyle w:val="NormalWeb"/>
              <w:spacing w:before="120" w:beforeAutospacing="0" w:after="120" w:afterAutospacing="0"/>
              <w:rPr>
                <w:rFonts w:ascii="Calibri" w:hAnsi="Calibri"/>
                <w:color w:val="000000"/>
                <w:sz w:val="20"/>
                <w:szCs w:val="22"/>
              </w:rPr>
            </w:pPr>
          </w:p>
        </w:tc>
        <w:tc>
          <w:tcPr>
            <w:tcW w:w="1985" w:type="dxa"/>
            <w:tcBorders>
              <w:bottom w:val="single" w:sz="4" w:space="0" w:color="D0CECE"/>
            </w:tcBorders>
          </w:tcPr>
          <w:p w:rsidR="000C3714" w:rsidRPr="00822C3B" w:rsidRDefault="000C3714" w:rsidP="000F433A">
            <w:pPr>
              <w:pStyle w:val="NormalWeb"/>
              <w:spacing w:before="120" w:beforeAutospacing="0" w:after="120" w:afterAutospacing="0"/>
              <w:rPr>
                <w:rFonts w:ascii="Calibri" w:hAnsi="Calibri"/>
                <w:color w:val="000000"/>
                <w:sz w:val="20"/>
                <w:szCs w:val="22"/>
              </w:rPr>
            </w:pPr>
          </w:p>
        </w:tc>
      </w:tr>
      <w:tr w:rsidR="000C3714" w:rsidRPr="00165EC8" w:rsidTr="00594C4D">
        <w:trPr>
          <w:cantSplit/>
        </w:trPr>
        <w:tc>
          <w:tcPr>
            <w:tcW w:w="737" w:type="dxa"/>
            <w:tcBorders>
              <w:top w:val="single" w:sz="4" w:space="0" w:color="D0CECE"/>
              <w:bottom w:val="single" w:sz="4" w:space="0" w:color="D0CECE"/>
            </w:tcBorders>
          </w:tcPr>
          <w:p w:rsidR="000C3714" w:rsidRPr="00165EC8" w:rsidRDefault="000C3714" w:rsidP="0079584E">
            <w:pPr>
              <w:spacing w:before="120" w:after="120" w:line="264" w:lineRule="auto"/>
              <w:ind w:left="-108"/>
              <w:rPr>
                <w:rFonts w:ascii="Calibri Light" w:hAnsi="Calibri Light" w:cs="Arial"/>
                <w:sz w:val="17"/>
              </w:rPr>
            </w:pPr>
            <w:r w:rsidRPr="00165EC8">
              <w:rPr>
                <w:rFonts w:ascii="Calibri Light" w:hAnsi="Calibri Light" w:cs="Arial"/>
                <w:sz w:val="17"/>
              </w:rPr>
              <w:t>6.1</w:t>
            </w:r>
          </w:p>
        </w:tc>
        <w:tc>
          <w:tcPr>
            <w:tcW w:w="3374" w:type="dxa"/>
            <w:tcBorders>
              <w:top w:val="single" w:sz="4" w:space="0" w:color="D0CECE"/>
              <w:bottom w:val="single" w:sz="4" w:space="0" w:color="D0CECE"/>
            </w:tcBorders>
          </w:tcPr>
          <w:p w:rsidR="000C3714" w:rsidRDefault="000C3714" w:rsidP="0079584E">
            <w:pPr>
              <w:pStyle w:val="Heading"/>
              <w:keepNext w:val="0"/>
              <w:spacing w:after="120" w:line="264" w:lineRule="auto"/>
              <w:jc w:val="left"/>
              <w:rPr>
                <w:rFonts w:cs="Arial"/>
                <w:b w:val="0"/>
                <w:bCs/>
              </w:rPr>
            </w:pPr>
            <w:r w:rsidRPr="0079584E">
              <w:rPr>
                <w:rFonts w:ascii="Calibri Light" w:hAnsi="Calibri Light" w:cs="Arial"/>
                <w:b w:val="0"/>
                <w:i/>
                <w:iCs/>
                <w:szCs w:val="22"/>
              </w:rPr>
              <w:t>ESC 3.11 regarding supplier’s liability for incorrect certificates has already been reviewed and will remain</w:t>
            </w:r>
            <w:r>
              <w:rPr>
                <w:rFonts w:ascii="Calibri Light" w:hAnsi="Calibri Light" w:cs="Arial"/>
                <w:b w:val="0"/>
                <w:i/>
                <w:iCs/>
                <w:szCs w:val="22"/>
              </w:rPr>
              <w:t xml:space="preserve"> (though if it is subject to legal challenge the position could change.)</w:t>
            </w:r>
          </w:p>
        </w:tc>
        <w:tc>
          <w:tcPr>
            <w:tcW w:w="4536" w:type="dxa"/>
            <w:tcBorders>
              <w:top w:val="single" w:sz="4" w:space="0" w:color="D0CECE"/>
              <w:bottom w:val="single" w:sz="4" w:space="0" w:color="D0CECE"/>
            </w:tcBorders>
          </w:tcPr>
          <w:p w:rsidR="000C3714" w:rsidRDefault="000C3714" w:rsidP="0079584E">
            <w:pPr>
              <w:pStyle w:val="NormalWeb"/>
              <w:spacing w:before="120" w:beforeAutospacing="0" w:after="120" w:afterAutospacing="0"/>
              <w:rPr>
                <w:rFonts w:ascii="Calibri" w:hAnsi="Calibri"/>
                <w:color w:val="000000"/>
                <w:sz w:val="20"/>
                <w:szCs w:val="22"/>
              </w:rPr>
            </w:pPr>
            <w:r>
              <w:rPr>
                <w:rFonts w:ascii="Calibri" w:hAnsi="Calibri"/>
                <w:color w:val="000000"/>
                <w:sz w:val="20"/>
                <w:szCs w:val="22"/>
              </w:rPr>
              <w:t>This means that suppliers are not put at risk by customers issuing incorrect certificates, provided all reasonable checks have been carried out.</w:t>
            </w:r>
          </w:p>
        </w:tc>
        <w:tc>
          <w:tcPr>
            <w:tcW w:w="1985" w:type="dxa"/>
            <w:tcBorders>
              <w:top w:val="single" w:sz="4" w:space="0" w:color="D0CECE"/>
              <w:bottom w:val="single" w:sz="4" w:space="0" w:color="D0CECE"/>
            </w:tcBorders>
          </w:tcPr>
          <w:p w:rsidR="000C3714" w:rsidRPr="00822C3B" w:rsidRDefault="000C3714" w:rsidP="0079584E">
            <w:pPr>
              <w:pStyle w:val="NormalWeb"/>
              <w:spacing w:before="120" w:beforeAutospacing="0" w:after="120" w:afterAutospacing="0"/>
              <w:rPr>
                <w:rFonts w:ascii="Calibri" w:hAnsi="Calibri"/>
                <w:color w:val="000000"/>
                <w:sz w:val="20"/>
                <w:szCs w:val="22"/>
              </w:rPr>
            </w:pPr>
          </w:p>
        </w:tc>
      </w:tr>
      <w:tr w:rsidR="000C3714" w:rsidRPr="00165EC8" w:rsidTr="0079584E">
        <w:trPr>
          <w:cantSplit/>
        </w:trPr>
        <w:tc>
          <w:tcPr>
            <w:tcW w:w="737" w:type="dxa"/>
            <w:tcBorders>
              <w:top w:val="single" w:sz="4" w:space="0" w:color="D0CECE"/>
              <w:bottom w:val="single" w:sz="4" w:space="0" w:color="D0CECE"/>
            </w:tcBorders>
          </w:tcPr>
          <w:p w:rsidR="000C3714" w:rsidRPr="00165EC8" w:rsidRDefault="000C3714" w:rsidP="0079584E">
            <w:pPr>
              <w:spacing w:before="120" w:after="120" w:line="264" w:lineRule="auto"/>
              <w:ind w:left="-108"/>
              <w:rPr>
                <w:rFonts w:ascii="Calibri Light" w:hAnsi="Calibri Light" w:cs="Arial"/>
                <w:sz w:val="17"/>
              </w:rPr>
            </w:pPr>
            <w:r w:rsidRPr="00165EC8">
              <w:rPr>
                <w:rFonts w:ascii="Calibri Light" w:hAnsi="Calibri Light" w:cs="Arial"/>
                <w:sz w:val="17"/>
              </w:rPr>
              <w:t>6.2</w:t>
            </w:r>
          </w:p>
        </w:tc>
        <w:tc>
          <w:tcPr>
            <w:tcW w:w="3374" w:type="dxa"/>
            <w:tcBorders>
              <w:top w:val="single" w:sz="4" w:space="0" w:color="D0CECE"/>
              <w:bottom w:val="single" w:sz="4" w:space="0" w:color="D0CECE"/>
            </w:tcBorders>
          </w:tcPr>
          <w:p w:rsidR="000C3714" w:rsidRPr="0079584E" w:rsidRDefault="000C3714" w:rsidP="0079584E">
            <w:pPr>
              <w:pStyle w:val="Heading"/>
              <w:keepNext w:val="0"/>
              <w:spacing w:after="120" w:line="264" w:lineRule="auto"/>
              <w:jc w:val="left"/>
              <w:rPr>
                <w:rFonts w:ascii="Calibri Light" w:hAnsi="Calibri Light" w:cs="Arial"/>
                <w:b w:val="0"/>
                <w:i/>
                <w:iCs/>
                <w:szCs w:val="22"/>
              </w:rPr>
            </w:pPr>
            <w:r w:rsidRPr="0079584E">
              <w:rPr>
                <w:rFonts w:ascii="Calibri Light" w:hAnsi="Calibri Light" w:cs="Arial"/>
                <w:b w:val="0"/>
                <w:i/>
                <w:iCs/>
                <w:szCs w:val="22"/>
              </w:rPr>
              <w:t>BUFDG/CTG made HMRC aware of issues regarding imports where a certificate frequently does not accompany the goods and there are hold-ups at import</w:t>
            </w:r>
          </w:p>
        </w:tc>
        <w:tc>
          <w:tcPr>
            <w:tcW w:w="4536" w:type="dxa"/>
            <w:tcBorders>
              <w:top w:val="single" w:sz="4" w:space="0" w:color="D0CECE"/>
              <w:bottom w:val="single" w:sz="4" w:space="0" w:color="D0CECE"/>
            </w:tcBorders>
          </w:tcPr>
          <w:p w:rsidR="000C3714" w:rsidRPr="00822C3B" w:rsidRDefault="000C3714" w:rsidP="00594C4D">
            <w:pPr>
              <w:pStyle w:val="NormalWeb"/>
              <w:spacing w:before="120" w:beforeAutospacing="0" w:after="120" w:afterAutospacing="0"/>
              <w:rPr>
                <w:rFonts w:ascii="Calibri" w:hAnsi="Calibri"/>
                <w:color w:val="000000"/>
                <w:sz w:val="20"/>
                <w:szCs w:val="22"/>
              </w:rPr>
            </w:pPr>
            <w:r>
              <w:rPr>
                <w:rFonts w:ascii="Calibri" w:hAnsi="Calibri"/>
                <w:color w:val="000000"/>
                <w:sz w:val="20"/>
                <w:szCs w:val="22"/>
              </w:rPr>
              <w:t>This can cause problems were the items might be required quickly or be highly perishable (e.g. with substances relief).</w:t>
            </w:r>
          </w:p>
        </w:tc>
        <w:tc>
          <w:tcPr>
            <w:tcW w:w="1985" w:type="dxa"/>
            <w:tcBorders>
              <w:top w:val="single" w:sz="4" w:space="0" w:color="D0CECE"/>
              <w:bottom w:val="single" w:sz="4" w:space="0" w:color="D0CECE"/>
            </w:tcBorders>
          </w:tcPr>
          <w:p w:rsidR="000C3714" w:rsidRPr="00822C3B" w:rsidRDefault="000C3714" w:rsidP="005667E1">
            <w:pPr>
              <w:pStyle w:val="NormalWeb"/>
              <w:spacing w:before="120" w:beforeAutospacing="0" w:after="120" w:afterAutospacing="0"/>
              <w:rPr>
                <w:rFonts w:ascii="Calibri" w:hAnsi="Calibri"/>
                <w:color w:val="000000"/>
                <w:sz w:val="20"/>
                <w:szCs w:val="22"/>
              </w:rPr>
            </w:pPr>
            <w:r>
              <w:rPr>
                <w:rFonts w:ascii="Calibri" w:hAnsi="Calibri"/>
                <w:color w:val="000000"/>
                <w:sz w:val="20"/>
                <w:szCs w:val="22"/>
              </w:rPr>
              <w:t>HMRC to look into this.</w:t>
            </w:r>
          </w:p>
        </w:tc>
      </w:tr>
      <w:tr w:rsidR="000C3714" w:rsidRPr="00165EC8" w:rsidTr="0079584E">
        <w:trPr>
          <w:cantSplit/>
        </w:trPr>
        <w:tc>
          <w:tcPr>
            <w:tcW w:w="737" w:type="dxa"/>
            <w:tcBorders>
              <w:top w:val="single" w:sz="4" w:space="0" w:color="D0CECE"/>
              <w:bottom w:val="single" w:sz="4" w:space="0" w:color="D0CECE"/>
            </w:tcBorders>
          </w:tcPr>
          <w:p w:rsidR="000C3714" w:rsidRPr="00165EC8" w:rsidRDefault="000C3714" w:rsidP="0079584E">
            <w:pPr>
              <w:spacing w:before="120" w:after="120" w:line="264" w:lineRule="auto"/>
              <w:ind w:left="-108"/>
              <w:rPr>
                <w:rFonts w:ascii="Calibri Light" w:hAnsi="Calibri Light" w:cs="Arial"/>
                <w:sz w:val="17"/>
              </w:rPr>
            </w:pPr>
            <w:r w:rsidRPr="00165EC8">
              <w:rPr>
                <w:rFonts w:ascii="Calibri Light" w:hAnsi="Calibri Light" w:cs="Arial"/>
                <w:sz w:val="17"/>
              </w:rPr>
              <w:t>6.3</w:t>
            </w:r>
          </w:p>
        </w:tc>
        <w:tc>
          <w:tcPr>
            <w:tcW w:w="3374" w:type="dxa"/>
            <w:tcBorders>
              <w:top w:val="single" w:sz="4" w:space="0" w:color="D0CECE"/>
              <w:bottom w:val="single" w:sz="4" w:space="0" w:color="D0CECE"/>
            </w:tcBorders>
          </w:tcPr>
          <w:p w:rsidR="000C3714" w:rsidRPr="0079584E" w:rsidRDefault="000C3714" w:rsidP="0079584E">
            <w:pPr>
              <w:pStyle w:val="Heading"/>
              <w:keepNext w:val="0"/>
              <w:spacing w:after="120" w:line="264" w:lineRule="auto"/>
              <w:jc w:val="left"/>
              <w:rPr>
                <w:rFonts w:ascii="Calibri Light" w:hAnsi="Calibri Light" w:cs="Arial"/>
                <w:b w:val="0"/>
                <w:i/>
                <w:iCs/>
                <w:szCs w:val="22"/>
              </w:rPr>
            </w:pPr>
            <w:r>
              <w:rPr>
                <w:rFonts w:ascii="Calibri Light" w:hAnsi="Calibri Light" w:cs="Arial"/>
                <w:b w:val="0"/>
                <w:i/>
                <w:iCs/>
                <w:szCs w:val="22"/>
              </w:rPr>
              <w:t>Software used for veterinary research does not qualify for relief, unlike medical research. Reasons are not known, but even if this is anomalous it cannot be changed.</w:t>
            </w:r>
          </w:p>
        </w:tc>
        <w:tc>
          <w:tcPr>
            <w:tcW w:w="4536" w:type="dxa"/>
            <w:tcBorders>
              <w:top w:val="single" w:sz="4" w:space="0" w:color="D0CECE"/>
              <w:bottom w:val="single" w:sz="4" w:space="0" w:color="D0CECE"/>
            </w:tcBorders>
          </w:tcPr>
          <w:p w:rsidR="000C3714" w:rsidRDefault="000C3714" w:rsidP="005667E1">
            <w:pPr>
              <w:pStyle w:val="NormalWeb"/>
              <w:spacing w:before="120" w:beforeAutospacing="0" w:after="120" w:afterAutospacing="0"/>
              <w:rPr>
                <w:rFonts w:ascii="Calibri" w:hAnsi="Calibri"/>
                <w:color w:val="000000"/>
                <w:sz w:val="20"/>
                <w:szCs w:val="22"/>
              </w:rPr>
            </w:pPr>
            <w:r>
              <w:rPr>
                <w:rFonts w:ascii="Calibri" w:hAnsi="Calibri"/>
                <w:color w:val="000000"/>
                <w:sz w:val="20"/>
                <w:szCs w:val="22"/>
              </w:rPr>
              <w:t>HMRC confirmed that even if this appeared to be anomalous as this is part of the legislation, not interpretation or guidance, it cannot be amended. HMRC were unable to provide any reasons for the apparent anomaly, but did not feel the reasons were important now as the legislation cannot be amended.</w:t>
            </w:r>
          </w:p>
        </w:tc>
        <w:tc>
          <w:tcPr>
            <w:tcW w:w="1985" w:type="dxa"/>
            <w:tcBorders>
              <w:top w:val="single" w:sz="4" w:space="0" w:color="D0CECE"/>
              <w:bottom w:val="single" w:sz="4" w:space="0" w:color="D0CECE"/>
            </w:tcBorders>
          </w:tcPr>
          <w:p w:rsidR="000C3714" w:rsidRDefault="000C3714" w:rsidP="0079584E">
            <w:pPr>
              <w:pStyle w:val="NormalWeb"/>
              <w:spacing w:before="120" w:beforeAutospacing="0" w:after="120" w:afterAutospacing="0"/>
              <w:rPr>
                <w:rFonts w:ascii="Calibri" w:hAnsi="Calibri"/>
                <w:color w:val="000000"/>
                <w:sz w:val="20"/>
                <w:szCs w:val="22"/>
              </w:rPr>
            </w:pPr>
          </w:p>
        </w:tc>
      </w:tr>
      <w:tr w:rsidR="000C3714" w:rsidRPr="00165EC8" w:rsidTr="0079584E">
        <w:trPr>
          <w:cantSplit/>
        </w:trPr>
        <w:tc>
          <w:tcPr>
            <w:tcW w:w="737" w:type="dxa"/>
            <w:tcBorders>
              <w:top w:val="single" w:sz="4" w:space="0" w:color="D0CECE"/>
              <w:bottom w:val="single" w:sz="4" w:space="0" w:color="D0CECE"/>
            </w:tcBorders>
          </w:tcPr>
          <w:p w:rsidR="000C3714" w:rsidRPr="00165EC8" w:rsidRDefault="000C3714" w:rsidP="0079584E">
            <w:pPr>
              <w:spacing w:before="120" w:after="120" w:line="264" w:lineRule="auto"/>
              <w:ind w:left="-108"/>
              <w:rPr>
                <w:rFonts w:ascii="Calibri Light" w:hAnsi="Calibri Light" w:cs="Arial"/>
                <w:sz w:val="17"/>
              </w:rPr>
            </w:pPr>
            <w:r w:rsidRPr="00165EC8">
              <w:rPr>
                <w:rFonts w:ascii="Calibri Light" w:hAnsi="Calibri Light" w:cs="Arial"/>
                <w:sz w:val="17"/>
              </w:rPr>
              <w:t>6.4</w:t>
            </w:r>
          </w:p>
        </w:tc>
        <w:tc>
          <w:tcPr>
            <w:tcW w:w="3374" w:type="dxa"/>
            <w:tcBorders>
              <w:top w:val="single" w:sz="4" w:space="0" w:color="D0CECE"/>
              <w:bottom w:val="single" w:sz="4" w:space="0" w:color="D0CECE"/>
            </w:tcBorders>
          </w:tcPr>
          <w:p w:rsidR="000C3714" w:rsidRPr="0079584E" w:rsidRDefault="000C3714" w:rsidP="0079584E">
            <w:pPr>
              <w:pStyle w:val="Heading"/>
              <w:keepNext w:val="0"/>
              <w:spacing w:after="120" w:line="264" w:lineRule="auto"/>
              <w:jc w:val="left"/>
              <w:rPr>
                <w:rFonts w:ascii="Calibri Light" w:hAnsi="Calibri Light" w:cs="Arial"/>
                <w:b w:val="0"/>
                <w:i/>
                <w:iCs/>
                <w:szCs w:val="22"/>
              </w:rPr>
            </w:pPr>
            <w:r>
              <w:rPr>
                <w:rFonts w:ascii="Calibri Light" w:hAnsi="Calibri Light" w:cs="Arial"/>
                <w:b w:val="0"/>
                <w:i/>
                <w:iCs/>
                <w:szCs w:val="22"/>
              </w:rPr>
              <w:t>Are general maintenance contracts for mixed qualifying and non-qualifying equipment, which could be subject to apportionment, common?</w:t>
            </w:r>
          </w:p>
        </w:tc>
        <w:tc>
          <w:tcPr>
            <w:tcW w:w="4536" w:type="dxa"/>
            <w:tcBorders>
              <w:top w:val="single" w:sz="4" w:space="0" w:color="D0CECE"/>
              <w:bottom w:val="single" w:sz="4" w:space="0" w:color="D0CECE"/>
            </w:tcBorders>
          </w:tcPr>
          <w:p w:rsidR="000C3714" w:rsidRDefault="000C3714" w:rsidP="005667E1">
            <w:pPr>
              <w:pStyle w:val="NormalWeb"/>
              <w:spacing w:before="120" w:beforeAutospacing="0" w:after="120" w:afterAutospacing="0"/>
              <w:rPr>
                <w:rFonts w:ascii="Calibri" w:hAnsi="Calibri"/>
                <w:color w:val="000000"/>
                <w:sz w:val="20"/>
                <w:szCs w:val="22"/>
              </w:rPr>
            </w:pPr>
            <w:r>
              <w:rPr>
                <w:rFonts w:ascii="Calibri" w:hAnsi="Calibri"/>
                <w:color w:val="000000"/>
                <w:sz w:val="20"/>
                <w:szCs w:val="22"/>
              </w:rPr>
              <w:t xml:space="preserve">It was not clear if this is a common arrangement. </w:t>
            </w:r>
            <w:r w:rsidRPr="0079584E">
              <w:rPr>
                <w:rFonts w:ascii="Calibri" w:hAnsi="Calibri"/>
                <w:color w:val="000000"/>
                <w:sz w:val="20"/>
                <w:szCs w:val="22"/>
              </w:rPr>
              <w:t xml:space="preserve">CRUK discussed </w:t>
            </w:r>
            <w:r>
              <w:rPr>
                <w:rFonts w:ascii="Calibri" w:hAnsi="Calibri"/>
                <w:color w:val="000000"/>
                <w:sz w:val="20"/>
                <w:szCs w:val="22"/>
              </w:rPr>
              <w:t xml:space="preserve">their </w:t>
            </w:r>
            <w:r w:rsidRPr="0079584E">
              <w:rPr>
                <w:rFonts w:ascii="Calibri" w:hAnsi="Calibri"/>
                <w:color w:val="000000"/>
                <w:sz w:val="20"/>
                <w:szCs w:val="22"/>
              </w:rPr>
              <w:t xml:space="preserve">arrangements for contracting out of </w:t>
            </w:r>
            <w:r>
              <w:rPr>
                <w:rFonts w:ascii="Calibri" w:hAnsi="Calibri"/>
                <w:color w:val="000000"/>
                <w:sz w:val="20"/>
                <w:szCs w:val="22"/>
              </w:rPr>
              <w:t xml:space="preserve">overall maintenance contracts with </w:t>
            </w:r>
            <w:r w:rsidRPr="0079584E">
              <w:rPr>
                <w:rFonts w:ascii="Calibri" w:hAnsi="Calibri"/>
                <w:color w:val="000000"/>
                <w:sz w:val="20"/>
                <w:szCs w:val="22"/>
              </w:rPr>
              <w:t>regular payment</w:t>
            </w:r>
            <w:r>
              <w:rPr>
                <w:rFonts w:ascii="Calibri" w:hAnsi="Calibri"/>
                <w:color w:val="000000"/>
                <w:sz w:val="20"/>
                <w:szCs w:val="22"/>
              </w:rPr>
              <w:t>s which</w:t>
            </w:r>
            <w:r w:rsidRPr="0079584E">
              <w:rPr>
                <w:rFonts w:ascii="Calibri" w:hAnsi="Calibri"/>
                <w:color w:val="000000"/>
                <w:sz w:val="20"/>
                <w:szCs w:val="22"/>
              </w:rPr>
              <w:t xml:space="preserve"> cover potential maintenance of </w:t>
            </w:r>
            <w:r>
              <w:rPr>
                <w:rFonts w:ascii="Calibri" w:hAnsi="Calibri"/>
                <w:color w:val="000000"/>
                <w:sz w:val="20"/>
                <w:szCs w:val="22"/>
              </w:rPr>
              <w:t>both zero-rated and</w:t>
            </w:r>
            <w:r w:rsidRPr="0079584E">
              <w:rPr>
                <w:rFonts w:ascii="Calibri" w:hAnsi="Calibri"/>
                <w:color w:val="000000"/>
                <w:sz w:val="20"/>
                <w:szCs w:val="22"/>
              </w:rPr>
              <w:t xml:space="preserve"> non</w:t>
            </w:r>
            <w:r>
              <w:rPr>
                <w:rFonts w:ascii="Calibri" w:hAnsi="Calibri"/>
                <w:color w:val="000000"/>
                <w:sz w:val="20"/>
                <w:szCs w:val="22"/>
              </w:rPr>
              <w:t>-zero-rated equipment. The set-up could in principle be apportioned but the detail of each case will first need to be considered by HMRC.</w:t>
            </w:r>
          </w:p>
        </w:tc>
        <w:tc>
          <w:tcPr>
            <w:tcW w:w="1985" w:type="dxa"/>
            <w:tcBorders>
              <w:top w:val="single" w:sz="4" w:space="0" w:color="D0CECE"/>
              <w:bottom w:val="single" w:sz="4" w:space="0" w:color="D0CECE"/>
            </w:tcBorders>
          </w:tcPr>
          <w:p w:rsidR="000C3714" w:rsidRDefault="000C3714" w:rsidP="0079584E">
            <w:pPr>
              <w:pStyle w:val="NormalWeb"/>
              <w:spacing w:before="120" w:beforeAutospacing="0" w:after="120" w:afterAutospacing="0"/>
              <w:rPr>
                <w:rFonts w:ascii="Calibri" w:hAnsi="Calibri"/>
                <w:color w:val="000000"/>
                <w:sz w:val="20"/>
                <w:szCs w:val="22"/>
              </w:rPr>
            </w:pPr>
            <w:r>
              <w:rPr>
                <w:rFonts w:ascii="Calibri" w:hAnsi="Calibri"/>
                <w:color w:val="000000"/>
                <w:sz w:val="20"/>
                <w:szCs w:val="22"/>
              </w:rPr>
              <w:t xml:space="preserve">AD to </w:t>
            </w:r>
            <w:r w:rsidRPr="0079584E">
              <w:rPr>
                <w:rFonts w:ascii="Calibri" w:hAnsi="Calibri"/>
                <w:color w:val="000000"/>
                <w:sz w:val="20"/>
                <w:szCs w:val="22"/>
              </w:rPr>
              <w:t xml:space="preserve">survey BUFDG members </w:t>
            </w:r>
            <w:r>
              <w:rPr>
                <w:rFonts w:ascii="Calibri" w:hAnsi="Calibri"/>
                <w:color w:val="000000"/>
                <w:sz w:val="20"/>
                <w:szCs w:val="22"/>
              </w:rPr>
              <w:t>to find if this arrangement is commonly used.</w:t>
            </w:r>
          </w:p>
        </w:tc>
      </w:tr>
      <w:tr w:rsidR="000C3714" w:rsidRPr="00165EC8" w:rsidTr="0079584E">
        <w:trPr>
          <w:cantSplit/>
        </w:trPr>
        <w:tc>
          <w:tcPr>
            <w:tcW w:w="737" w:type="dxa"/>
            <w:tcBorders>
              <w:top w:val="single" w:sz="4" w:space="0" w:color="D0CECE"/>
            </w:tcBorders>
          </w:tcPr>
          <w:p w:rsidR="000C3714" w:rsidRPr="00165EC8" w:rsidRDefault="000C3714" w:rsidP="0079584E">
            <w:pPr>
              <w:spacing w:before="120" w:after="120" w:line="264" w:lineRule="auto"/>
              <w:ind w:left="-108"/>
              <w:rPr>
                <w:rFonts w:ascii="Calibri Light" w:hAnsi="Calibri Light" w:cs="Arial"/>
                <w:sz w:val="17"/>
              </w:rPr>
            </w:pPr>
            <w:r w:rsidRPr="00165EC8">
              <w:rPr>
                <w:rFonts w:ascii="Calibri Light" w:hAnsi="Calibri Light" w:cs="Arial"/>
                <w:sz w:val="17"/>
              </w:rPr>
              <w:t>6.5</w:t>
            </w:r>
          </w:p>
        </w:tc>
        <w:tc>
          <w:tcPr>
            <w:tcW w:w="3374" w:type="dxa"/>
            <w:tcBorders>
              <w:top w:val="single" w:sz="4" w:space="0" w:color="D0CECE"/>
            </w:tcBorders>
          </w:tcPr>
          <w:p w:rsidR="000C3714" w:rsidRDefault="000C3714" w:rsidP="0079584E">
            <w:pPr>
              <w:pStyle w:val="Heading"/>
              <w:keepNext w:val="0"/>
              <w:spacing w:after="120" w:line="264" w:lineRule="auto"/>
              <w:jc w:val="left"/>
              <w:rPr>
                <w:rFonts w:ascii="Calibri Light" w:hAnsi="Calibri Light" w:cs="Arial"/>
                <w:b w:val="0"/>
                <w:i/>
                <w:iCs/>
                <w:szCs w:val="22"/>
              </w:rPr>
            </w:pPr>
            <w:r>
              <w:rPr>
                <w:rFonts w:ascii="Calibri Light" w:hAnsi="Calibri Light" w:cs="Arial"/>
                <w:b w:val="0"/>
                <w:i/>
                <w:iCs/>
                <w:szCs w:val="22"/>
              </w:rPr>
              <w:t>HMRC agreed that sector-specific guidance prepared and distributed by umbrella organisations such as BUFDG could work well in this area.</w:t>
            </w:r>
          </w:p>
        </w:tc>
        <w:tc>
          <w:tcPr>
            <w:tcW w:w="4536" w:type="dxa"/>
            <w:tcBorders>
              <w:top w:val="single" w:sz="4" w:space="0" w:color="D0CECE"/>
            </w:tcBorders>
          </w:tcPr>
          <w:p w:rsidR="000C3714" w:rsidRPr="0079584E" w:rsidRDefault="000C3714" w:rsidP="00287CB7">
            <w:pPr>
              <w:pStyle w:val="NormalWeb"/>
              <w:spacing w:before="120" w:beforeAutospacing="0" w:after="120" w:afterAutospacing="0"/>
              <w:rPr>
                <w:rFonts w:ascii="Calibri" w:hAnsi="Calibri"/>
                <w:color w:val="000000"/>
                <w:sz w:val="20"/>
                <w:szCs w:val="22"/>
              </w:rPr>
            </w:pPr>
            <w:r>
              <w:rPr>
                <w:rFonts w:ascii="Calibri" w:hAnsi="Calibri"/>
                <w:color w:val="000000"/>
                <w:sz w:val="20"/>
                <w:szCs w:val="22"/>
              </w:rPr>
              <w:t>HMRC could not ‘approve’ guidance provided by third parties to their members but it could be discussed with them.</w:t>
            </w:r>
          </w:p>
        </w:tc>
        <w:tc>
          <w:tcPr>
            <w:tcW w:w="1985" w:type="dxa"/>
            <w:tcBorders>
              <w:top w:val="single" w:sz="4" w:space="0" w:color="D0CECE"/>
            </w:tcBorders>
          </w:tcPr>
          <w:p w:rsidR="000C3714" w:rsidRDefault="000C3714" w:rsidP="0079584E">
            <w:pPr>
              <w:pStyle w:val="NormalWeb"/>
              <w:spacing w:before="120" w:beforeAutospacing="0" w:after="120" w:afterAutospacing="0"/>
              <w:rPr>
                <w:rFonts w:ascii="Calibri" w:hAnsi="Calibri"/>
                <w:color w:val="000000"/>
                <w:sz w:val="20"/>
                <w:szCs w:val="22"/>
              </w:rPr>
            </w:pPr>
            <w:r>
              <w:rPr>
                <w:rFonts w:ascii="Calibri" w:hAnsi="Calibri"/>
                <w:color w:val="000000"/>
                <w:sz w:val="20"/>
                <w:szCs w:val="22"/>
              </w:rPr>
              <w:t>AD to produce guidance for BUFDG members (also available to appropriate CTG members).</w:t>
            </w:r>
          </w:p>
        </w:tc>
      </w:tr>
    </w:tbl>
    <w:p w:rsidR="000C3714" w:rsidRDefault="000C3714" w:rsidP="00BF194B">
      <w:pPr>
        <w:pStyle w:val="NormalWeb"/>
        <w:spacing w:before="0" w:beforeAutospacing="0" w:after="0" w:afterAutospacing="0"/>
        <w:rPr>
          <w:rFonts w:ascii="Calibri" w:hAnsi="Calibri"/>
          <w:color w:val="000000"/>
          <w:sz w:val="22"/>
          <w:szCs w:val="22"/>
        </w:rPr>
      </w:pPr>
    </w:p>
    <w:p w:rsidR="000C3714" w:rsidRDefault="000C3714" w:rsidP="00BF194B">
      <w:pPr>
        <w:pStyle w:val="NormalWeb"/>
        <w:spacing w:before="0" w:beforeAutospacing="0" w:after="0" w:afterAutospacing="0"/>
        <w:rPr>
          <w:rFonts w:ascii="Calibri" w:hAnsi="Calibri"/>
          <w:color w:val="000000"/>
          <w:sz w:val="22"/>
          <w:szCs w:val="22"/>
        </w:rPr>
      </w:pPr>
      <w:r>
        <w:rPr>
          <w:rFonts w:ascii="Calibri" w:hAnsi="Calibri"/>
          <w:color w:val="000000"/>
          <w:sz w:val="22"/>
          <w:szCs w:val="22"/>
        </w:rPr>
        <w:t> </w:t>
      </w:r>
    </w:p>
    <w:p w:rsidR="000C3714" w:rsidRDefault="000C3714" w:rsidP="00BF194B">
      <w:pPr>
        <w:pStyle w:val="NormalWeb"/>
        <w:spacing w:before="0" w:beforeAutospacing="0" w:after="0" w:afterAutospacing="0"/>
        <w:rPr>
          <w:rFonts w:ascii="Calibri" w:hAnsi="Calibri"/>
          <w:color w:val="000000"/>
          <w:sz w:val="22"/>
          <w:szCs w:val="22"/>
        </w:rPr>
      </w:pPr>
    </w:p>
    <w:p w:rsidR="000C3714" w:rsidRDefault="000C3714" w:rsidP="00594C4D">
      <w:pPr>
        <w:pStyle w:val="NormalWeb"/>
        <w:spacing w:before="0" w:beforeAutospacing="0" w:after="0" w:afterAutospacing="0"/>
        <w:rPr>
          <w:rFonts w:ascii="Calibri" w:hAnsi="Calibri"/>
        </w:rPr>
      </w:pPr>
      <w:r>
        <w:rPr>
          <w:rFonts w:ascii="Calibri" w:hAnsi="Calibri"/>
          <w:color w:val="000000"/>
          <w:sz w:val="22"/>
          <w:szCs w:val="22"/>
        </w:rPr>
        <w:t xml:space="preserve">Amanda Darley, </w:t>
      </w:r>
      <w:r w:rsidRPr="000F433A">
        <w:rPr>
          <w:rFonts w:ascii="Calibri" w:hAnsi="Calibri"/>
          <w:sz w:val="22"/>
          <w:szCs w:val="22"/>
        </w:rPr>
        <w:t>28 July 2015</w:t>
      </w:r>
      <w:r>
        <w:rPr>
          <w:rFonts w:ascii="Calibri" w:hAnsi="Calibri"/>
        </w:rPr>
        <w:br w:type="page"/>
      </w:r>
    </w:p>
    <w:p w:rsidR="000C3714" w:rsidRDefault="000C3714" w:rsidP="00E41B20">
      <w:pPr>
        <w:pStyle w:val="Heading2"/>
        <w:sectPr w:rsidR="000C3714" w:rsidSect="00594C4D">
          <w:pgSz w:w="11906" w:h="16838"/>
          <w:pgMar w:top="1276" w:right="1440" w:bottom="1134" w:left="1440" w:header="708" w:footer="708" w:gutter="0"/>
          <w:cols w:space="708"/>
          <w:docGrid w:linePitch="360"/>
        </w:sectPr>
      </w:pPr>
    </w:p>
    <w:p w:rsidR="000C3714" w:rsidRDefault="000C3714" w:rsidP="00E41B20">
      <w:pPr>
        <w:pStyle w:val="Heading2"/>
      </w:pPr>
      <w:r>
        <w:t xml:space="preserve">Appendix to Minutes of the meeting between HMRC, BUFDG and CTG, 9 July 2015 re: Medical/Veterinary Zero-Rating Relief </w:t>
      </w:r>
    </w:p>
    <w:p w:rsidR="000C3714" w:rsidRDefault="000C3714" w:rsidP="00E41B20">
      <w:pPr>
        <w:pStyle w:val="Heading4"/>
      </w:pPr>
    </w:p>
    <w:p w:rsidR="000C3714" w:rsidRDefault="000C3714" w:rsidP="00E41B20">
      <w:pPr>
        <w:pStyle w:val="Heading4"/>
      </w:pPr>
      <w:r>
        <w:t>A.</w:t>
      </w:r>
      <w:r>
        <w:tab/>
        <w:t>Examples list in (current) section 4.11 of Notice 701/6</w:t>
      </w:r>
    </w:p>
    <w:p w:rsidR="000C3714" w:rsidRDefault="000C3714" w:rsidP="00E41B20">
      <w:pPr>
        <w:spacing w:after="0"/>
      </w:pPr>
      <w:r>
        <w:t xml:space="preserve">List of qualifying/non-qualifying items to be added to the Examples list when HMRC update the notice. </w:t>
      </w:r>
    </w:p>
    <w:p w:rsidR="000C3714" w:rsidRDefault="000C3714" w:rsidP="00E41B20">
      <w:pPr>
        <w:spacing w:after="0"/>
      </w:pPr>
      <w:r>
        <w:t>NOTE – ANY QUALIFYING ITEM MUST, OF COURSE, MEET THE QUALIFYING USE CRITERIA AS WELL.</w:t>
      </w:r>
    </w:p>
    <w:p w:rsidR="000C3714" w:rsidRPr="00DD1622" w:rsidRDefault="000C3714" w:rsidP="00E41B20">
      <w:pPr>
        <w:spacing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1"/>
        <w:gridCol w:w="2511"/>
        <w:gridCol w:w="3155"/>
        <w:gridCol w:w="2035"/>
        <w:gridCol w:w="2592"/>
        <w:gridCol w:w="3524"/>
      </w:tblGrid>
      <w:tr w:rsidR="000C3714" w:rsidRPr="00165EC8" w:rsidTr="00165EC8">
        <w:trPr>
          <w:cantSplit/>
          <w:tblHeader/>
        </w:trPr>
        <w:tc>
          <w:tcPr>
            <w:tcW w:w="0" w:type="auto"/>
            <w:gridSpan w:val="5"/>
            <w:shd w:val="clear" w:color="auto" w:fill="CCECFF"/>
          </w:tcPr>
          <w:p w:rsidR="000C3714" w:rsidRPr="00165EC8" w:rsidRDefault="000C3714" w:rsidP="00165EC8">
            <w:pPr>
              <w:spacing w:after="0" w:line="240" w:lineRule="auto"/>
              <w:rPr>
                <w:b/>
              </w:rPr>
            </w:pPr>
            <w:r w:rsidRPr="00165EC8">
              <w:rPr>
                <w:b/>
              </w:rPr>
              <w:t>Information provided by A Darley (BUFDG) in advance of meeting</w:t>
            </w:r>
          </w:p>
        </w:tc>
        <w:tc>
          <w:tcPr>
            <w:tcW w:w="0" w:type="auto"/>
            <w:shd w:val="clear" w:color="auto" w:fill="FBE4D5"/>
          </w:tcPr>
          <w:p w:rsidR="000C3714" w:rsidRPr="00165EC8" w:rsidRDefault="000C3714" w:rsidP="00165EC8">
            <w:pPr>
              <w:spacing w:after="0" w:line="240" w:lineRule="auto"/>
              <w:rPr>
                <w:b/>
              </w:rPr>
            </w:pPr>
            <w:r w:rsidRPr="00165EC8">
              <w:rPr>
                <w:b/>
              </w:rPr>
              <w:t>Update 9 July 2015</w:t>
            </w:r>
          </w:p>
        </w:tc>
      </w:tr>
      <w:tr w:rsidR="000C3714" w:rsidRPr="00165EC8" w:rsidTr="00165EC8">
        <w:trPr>
          <w:cantSplit/>
          <w:tblHeader/>
        </w:trPr>
        <w:tc>
          <w:tcPr>
            <w:tcW w:w="0" w:type="auto"/>
            <w:shd w:val="clear" w:color="auto" w:fill="CCECFF"/>
          </w:tcPr>
          <w:p w:rsidR="000C3714" w:rsidRPr="00165EC8" w:rsidRDefault="000C3714" w:rsidP="00165EC8">
            <w:pPr>
              <w:spacing w:after="0" w:line="240" w:lineRule="auto"/>
              <w:rPr>
                <w:b/>
              </w:rPr>
            </w:pPr>
            <w:r w:rsidRPr="00165EC8">
              <w:rPr>
                <w:b/>
              </w:rPr>
              <w:t>Ref</w:t>
            </w:r>
          </w:p>
        </w:tc>
        <w:tc>
          <w:tcPr>
            <w:tcW w:w="0" w:type="auto"/>
            <w:shd w:val="clear" w:color="auto" w:fill="CCECFF"/>
          </w:tcPr>
          <w:p w:rsidR="000C3714" w:rsidRPr="00165EC8" w:rsidRDefault="000C3714" w:rsidP="00165EC8">
            <w:pPr>
              <w:spacing w:after="0" w:line="240" w:lineRule="auto"/>
              <w:rPr>
                <w:b/>
              </w:rPr>
            </w:pPr>
            <w:r w:rsidRPr="00165EC8">
              <w:rPr>
                <w:b/>
              </w:rPr>
              <w:t>Item</w:t>
            </w:r>
          </w:p>
        </w:tc>
        <w:tc>
          <w:tcPr>
            <w:tcW w:w="0" w:type="auto"/>
            <w:shd w:val="clear" w:color="auto" w:fill="CCECFF"/>
          </w:tcPr>
          <w:p w:rsidR="000C3714" w:rsidRPr="00165EC8" w:rsidRDefault="000C3714" w:rsidP="00165EC8">
            <w:pPr>
              <w:spacing w:after="0" w:line="240" w:lineRule="auto"/>
              <w:rPr>
                <w:b/>
              </w:rPr>
            </w:pPr>
            <w:r w:rsidRPr="00165EC8">
              <w:rPr>
                <w:b/>
              </w:rPr>
              <w:t>Issue</w:t>
            </w:r>
          </w:p>
        </w:tc>
        <w:tc>
          <w:tcPr>
            <w:tcW w:w="0" w:type="auto"/>
            <w:shd w:val="clear" w:color="auto" w:fill="CCECFF"/>
          </w:tcPr>
          <w:p w:rsidR="000C3714" w:rsidRPr="00165EC8" w:rsidRDefault="000C3714" w:rsidP="00165EC8">
            <w:pPr>
              <w:spacing w:after="0" w:line="240" w:lineRule="auto"/>
              <w:rPr>
                <w:b/>
              </w:rPr>
            </w:pPr>
            <w:r w:rsidRPr="00165EC8">
              <w:rPr>
                <w:b/>
              </w:rPr>
              <w:t>Current Notice 701/6 table 4.11 states:</w:t>
            </w:r>
          </w:p>
        </w:tc>
        <w:tc>
          <w:tcPr>
            <w:tcW w:w="0" w:type="auto"/>
            <w:shd w:val="clear" w:color="auto" w:fill="CCECFF"/>
          </w:tcPr>
          <w:p w:rsidR="000C3714" w:rsidRPr="00165EC8" w:rsidRDefault="000C3714" w:rsidP="00165EC8">
            <w:pPr>
              <w:spacing w:after="0" w:line="240" w:lineRule="auto"/>
              <w:rPr>
                <w:b/>
              </w:rPr>
            </w:pPr>
            <w:r w:rsidRPr="00165EC8">
              <w:rPr>
                <w:b/>
              </w:rPr>
              <w:t>Suggested inclusion in Notice 701/6 table 4.11:</w:t>
            </w:r>
          </w:p>
        </w:tc>
        <w:tc>
          <w:tcPr>
            <w:tcW w:w="0" w:type="auto"/>
            <w:shd w:val="clear" w:color="auto" w:fill="FBE4D5"/>
          </w:tcPr>
          <w:p w:rsidR="000C3714" w:rsidRPr="00165EC8" w:rsidRDefault="000C3714" w:rsidP="00165EC8">
            <w:pPr>
              <w:spacing w:after="0" w:line="240" w:lineRule="auto"/>
              <w:rPr>
                <w:b/>
              </w:rPr>
            </w:pPr>
            <w:r w:rsidRPr="00165EC8">
              <w:rPr>
                <w:b/>
              </w:rPr>
              <w:t>Discussion outcome</w:t>
            </w:r>
          </w:p>
        </w:tc>
      </w:tr>
      <w:tr w:rsidR="000C3714" w:rsidRPr="00165EC8" w:rsidTr="00165EC8">
        <w:trPr>
          <w:cantSplit/>
        </w:trPr>
        <w:tc>
          <w:tcPr>
            <w:tcW w:w="0" w:type="auto"/>
          </w:tcPr>
          <w:p w:rsidR="000C3714" w:rsidRPr="00165EC8" w:rsidRDefault="000C3714" w:rsidP="00165EC8">
            <w:pPr>
              <w:spacing w:after="0" w:line="240" w:lineRule="auto"/>
            </w:pPr>
            <w:r w:rsidRPr="00165EC8">
              <w:t>1</w:t>
            </w:r>
          </w:p>
        </w:tc>
        <w:tc>
          <w:tcPr>
            <w:tcW w:w="0" w:type="auto"/>
          </w:tcPr>
          <w:p w:rsidR="000C3714" w:rsidRPr="00165EC8" w:rsidRDefault="000C3714" w:rsidP="00165EC8">
            <w:pPr>
              <w:spacing w:after="0" w:line="240" w:lineRule="auto"/>
            </w:pPr>
            <w:r w:rsidRPr="00165EC8">
              <w:t>Digital cameras with video capability</w:t>
            </w:r>
          </w:p>
        </w:tc>
        <w:tc>
          <w:tcPr>
            <w:tcW w:w="0" w:type="auto"/>
          </w:tcPr>
          <w:p w:rsidR="000C3714" w:rsidRPr="00165EC8" w:rsidRDefault="000C3714" w:rsidP="00165EC8">
            <w:pPr>
              <w:spacing w:after="0" w:line="240" w:lineRule="auto"/>
            </w:pPr>
            <w:r w:rsidRPr="00165EC8">
              <w:t>These should qualify as video equipment, but as still cameras don’t qualify, this isn’t currently clear</w:t>
            </w:r>
          </w:p>
        </w:tc>
        <w:tc>
          <w:tcPr>
            <w:tcW w:w="0" w:type="auto"/>
          </w:tcPr>
          <w:p w:rsidR="000C3714" w:rsidRPr="00165EC8" w:rsidRDefault="000C3714" w:rsidP="00165EC8">
            <w:pPr>
              <w:spacing w:after="0" w:line="240" w:lineRule="auto"/>
              <w:rPr>
                <w:rFonts w:cs="Arial"/>
                <w:color w:val="292929"/>
                <w:shd w:val="clear" w:color="auto" w:fill="FFFFFF"/>
              </w:rPr>
            </w:pPr>
            <w:r w:rsidRPr="00165EC8">
              <w:rPr>
                <w:rFonts w:cs="Arial"/>
                <w:color w:val="292929"/>
                <w:shd w:val="clear" w:color="auto" w:fill="FFFFFF"/>
              </w:rPr>
              <w:t>‘Cameras, still’ do not qualify.</w:t>
            </w:r>
          </w:p>
          <w:p w:rsidR="000C3714" w:rsidRPr="00165EC8" w:rsidRDefault="000C3714" w:rsidP="00165EC8">
            <w:pPr>
              <w:spacing w:after="0" w:line="240" w:lineRule="auto"/>
              <w:rPr>
                <w:rFonts w:cs="Arial"/>
                <w:color w:val="292929"/>
                <w:shd w:val="clear" w:color="auto" w:fill="FFFFFF"/>
              </w:rPr>
            </w:pPr>
            <w:r w:rsidRPr="00165EC8">
              <w:rPr>
                <w:rFonts w:cs="Arial"/>
                <w:color w:val="292929"/>
                <w:shd w:val="clear" w:color="auto" w:fill="FFFFFF"/>
              </w:rPr>
              <w:t>‘Cameras, video’ do qualify as video equipment.</w:t>
            </w:r>
          </w:p>
        </w:tc>
        <w:tc>
          <w:tcPr>
            <w:tcW w:w="0" w:type="auto"/>
          </w:tcPr>
          <w:p w:rsidR="000C3714" w:rsidRPr="00165EC8" w:rsidRDefault="000C3714" w:rsidP="00165EC8">
            <w:pPr>
              <w:spacing w:after="0" w:line="240" w:lineRule="auto"/>
              <w:rPr>
                <w:rFonts w:cs="Arial"/>
                <w:color w:val="292929"/>
                <w:shd w:val="clear" w:color="auto" w:fill="FFFFFF"/>
              </w:rPr>
            </w:pPr>
            <w:r w:rsidRPr="00165EC8">
              <w:rPr>
                <w:rFonts w:cs="Arial"/>
                <w:color w:val="292929"/>
                <w:shd w:val="clear" w:color="auto" w:fill="FFFFFF"/>
              </w:rPr>
              <w:t xml:space="preserve">‘Cameras, still with no video capability’ do not qualify. </w:t>
            </w:r>
          </w:p>
          <w:p w:rsidR="000C3714" w:rsidRPr="00165EC8" w:rsidRDefault="000C3714" w:rsidP="00165EC8">
            <w:pPr>
              <w:spacing w:after="0" w:line="240" w:lineRule="auto"/>
              <w:rPr>
                <w:rFonts w:cs="Arial"/>
                <w:color w:val="292929"/>
                <w:shd w:val="clear" w:color="auto" w:fill="FFFFFF"/>
              </w:rPr>
            </w:pPr>
            <w:r w:rsidRPr="00165EC8">
              <w:rPr>
                <w:rFonts w:cs="Arial"/>
                <w:color w:val="292929"/>
                <w:shd w:val="clear" w:color="auto" w:fill="FFFFFF"/>
              </w:rPr>
              <w:t>‘Cameras, still with video capability’ do qualify as video equipment.</w:t>
            </w:r>
          </w:p>
          <w:p w:rsidR="000C3714" w:rsidRPr="00165EC8" w:rsidRDefault="000C3714" w:rsidP="00165EC8">
            <w:pPr>
              <w:spacing w:after="0" w:line="240" w:lineRule="auto"/>
            </w:pPr>
            <w:r w:rsidRPr="00165EC8">
              <w:rPr>
                <w:rFonts w:cs="Arial"/>
                <w:color w:val="292929"/>
                <w:shd w:val="clear" w:color="auto" w:fill="FFFFFF"/>
              </w:rPr>
              <w:t>‘Cameras, video’ do qualify as video equipment.</w:t>
            </w:r>
          </w:p>
        </w:tc>
        <w:tc>
          <w:tcPr>
            <w:tcW w:w="0" w:type="auto"/>
          </w:tcPr>
          <w:p w:rsidR="000C3714" w:rsidRPr="00165EC8" w:rsidRDefault="000C3714" w:rsidP="00165EC8">
            <w:pPr>
              <w:spacing w:after="0" w:line="240" w:lineRule="auto"/>
              <w:rPr>
                <w:rFonts w:cs="Arial"/>
                <w:color w:val="292929"/>
                <w:shd w:val="clear" w:color="auto" w:fill="FFFFFF"/>
              </w:rPr>
            </w:pPr>
            <w:r w:rsidRPr="00165EC8">
              <w:rPr>
                <w:rFonts w:cs="Arial"/>
                <w:color w:val="292929"/>
                <w:shd w:val="clear" w:color="auto" w:fill="FFFFFF"/>
              </w:rPr>
              <w:t>HMRC do not agree that digital still cameras with video capability qualify for relief as video equipment as the main function they are designed for is still photography.</w:t>
            </w:r>
          </w:p>
        </w:tc>
      </w:tr>
      <w:tr w:rsidR="000C3714" w:rsidRPr="00165EC8" w:rsidTr="00165EC8">
        <w:tc>
          <w:tcPr>
            <w:tcW w:w="0" w:type="auto"/>
          </w:tcPr>
          <w:p w:rsidR="000C3714" w:rsidRPr="00165EC8" w:rsidRDefault="000C3714" w:rsidP="00165EC8">
            <w:pPr>
              <w:spacing w:after="0" w:line="240" w:lineRule="auto"/>
            </w:pPr>
            <w:r w:rsidRPr="00165EC8">
              <w:t>2</w:t>
            </w:r>
          </w:p>
        </w:tc>
        <w:tc>
          <w:tcPr>
            <w:tcW w:w="0" w:type="auto"/>
          </w:tcPr>
          <w:p w:rsidR="000C3714" w:rsidRPr="00165EC8" w:rsidRDefault="000C3714" w:rsidP="00165EC8">
            <w:pPr>
              <w:spacing w:after="0" w:line="240" w:lineRule="auto"/>
            </w:pPr>
            <w:r w:rsidRPr="00165EC8">
              <w:t xml:space="preserve">Thermal imaging cameras </w:t>
            </w:r>
          </w:p>
        </w:tc>
        <w:tc>
          <w:tcPr>
            <w:tcW w:w="0" w:type="auto"/>
          </w:tcPr>
          <w:p w:rsidR="000C3714" w:rsidRPr="00165EC8" w:rsidRDefault="000C3714" w:rsidP="00165EC8">
            <w:pPr>
              <w:spacing w:after="0" w:line="240" w:lineRule="auto"/>
            </w:pPr>
            <w:r w:rsidRPr="00165EC8">
              <w:t>Are these scientific equipment?  They measure heat and display it.</w:t>
            </w:r>
          </w:p>
        </w:tc>
        <w:tc>
          <w:tcPr>
            <w:tcW w:w="0" w:type="auto"/>
          </w:tcPr>
          <w:p w:rsidR="000C3714" w:rsidRPr="00165EC8" w:rsidRDefault="000C3714" w:rsidP="00165EC8">
            <w:pPr>
              <w:spacing w:after="0" w:line="240" w:lineRule="auto"/>
              <w:rPr>
                <w:rFonts w:cs="Arial"/>
                <w:color w:val="292929"/>
                <w:shd w:val="clear" w:color="auto" w:fill="FFFFFF"/>
              </w:rPr>
            </w:pPr>
            <w:r w:rsidRPr="00165EC8">
              <w:rPr>
                <w:rFonts w:cs="Arial"/>
                <w:color w:val="292929"/>
                <w:shd w:val="clear" w:color="auto" w:fill="FFFFFF"/>
              </w:rPr>
              <w:t>‘Cameras, still’ do not qualify.</w:t>
            </w:r>
          </w:p>
          <w:p w:rsidR="000C3714" w:rsidRPr="00165EC8" w:rsidRDefault="000C3714" w:rsidP="00165EC8">
            <w:pPr>
              <w:spacing w:after="0" w:line="240" w:lineRule="auto"/>
              <w:rPr>
                <w:rFonts w:cs="Arial"/>
                <w:color w:val="292929"/>
                <w:shd w:val="clear" w:color="auto" w:fill="FFFFFF"/>
              </w:rPr>
            </w:pPr>
          </w:p>
        </w:tc>
        <w:tc>
          <w:tcPr>
            <w:tcW w:w="0" w:type="auto"/>
          </w:tcPr>
          <w:p w:rsidR="000C3714" w:rsidRPr="00165EC8" w:rsidRDefault="000C3714" w:rsidP="00165EC8">
            <w:pPr>
              <w:spacing w:after="0" w:line="240" w:lineRule="auto"/>
              <w:rPr>
                <w:rFonts w:cs="Arial"/>
                <w:color w:val="292929"/>
                <w:shd w:val="clear" w:color="auto" w:fill="FFFFFF"/>
              </w:rPr>
            </w:pPr>
            <w:r w:rsidRPr="00165EC8">
              <w:rPr>
                <w:rFonts w:cs="Arial"/>
                <w:color w:val="292929"/>
                <w:shd w:val="clear" w:color="auto" w:fill="FFFFFF"/>
              </w:rPr>
              <w:t>‘Cameras, thermal imaging’ qualify as scientific equipment.</w:t>
            </w:r>
          </w:p>
        </w:tc>
        <w:tc>
          <w:tcPr>
            <w:tcW w:w="0" w:type="auto"/>
          </w:tcPr>
          <w:p w:rsidR="000C3714" w:rsidRPr="00165EC8" w:rsidRDefault="000C3714" w:rsidP="00165EC8">
            <w:pPr>
              <w:spacing w:after="0" w:line="240" w:lineRule="auto"/>
              <w:rPr>
                <w:rFonts w:cs="Arial"/>
                <w:color w:val="292929"/>
                <w:shd w:val="clear" w:color="auto" w:fill="FFFFFF"/>
              </w:rPr>
            </w:pPr>
            <w:r w:rsidRPr="00165EC8">
              <w:rPr>
                <w:rFonts w:cs="Arial"/>
                <w:color w:val="292929"/>
                <w:shd w:val="clear" w:color="auto" w:fill="FFFFFF"/>
              </w:rPr>
              <w:t>HMRC agree these can be considered as scientific equipment as they measure heat.</w:t>
            </w:r>
          </w:p>
        </w:tc>
      </w:tr>
      <w:tr w:rsidR="000C3714" w:rsidRPr="00165EC8" w:rsidTr="00165EC8">
        <w:tc>
          <w:tcPr>
            <w:tcW w:w="0" w:type="auto"/>
          </w:tcPr>
          <w:p w:rsidR="000C3714" w:rsidRPr="00165EC8" w:rsidRDefault="000C3714" w:rsidP="00165EC8">
            <w:pPr>
              <w:spacing w:after="0" w:line="240" w:lineRule="auto"/>
            </w:pPr>
            <w:r w:rsidRPr="00165EC8">
              <w:t>3</w:t>
            </w:r>
          </w:p>
        </w:tc>
        <w:tc>
          <w:tcPr>
            <w:tcW w:w="0" w:type="auto"/>
          </w:tcPr>
          <w:p w:rsidR="000C3714" w:rsidRPr="00165EC8" w:rsidRDefault="000C3714" w:rsidP="00165EC8">
            <w:pPr>
              <w:spacing w:after="0" w:line="240" w:lineRule="auto"/>
            </w:pPr>
            <w:r w:rsidRPr="00165EC8">
              <w:t xml:space="preserve">Other specialist cameras which takes stills but are used in a lab context but not attached to a microscope e.g. a camera used to take thousands of stills to look at someone’s gait </w:t>
            </w:r>
          </w:p>
        </w:tc>
        <w:tc>
          <w:tcPr>
            <w:tcW w:w="0" w:type="auto"/>
          </w:tcPr>
          <w:p w:rsidR="000C3714" w:rsidRPr="00165EC8" w:rsidRDefault="000C3714" w:rsidP="00165EC8">
            <w:pPr>
              <w:spacing w:after="0" w:line="240" w:lineRule="auto"/>
            </w:pPr>
            <w:r w:rsidRPr="00165EC8">
              <w:t>Are these laboratory equipment?  Some may be used in other contexts.</w:t>
            </w:r>
          </w:p>
        </w:tc>
        <w:tc>
          <w:tcPr>
            <w:tcW w:w="0" w:type="auto"/>
          </w:tcPr>
          <w:p w:rsidR="000C3714" w:rsidRPr="00165EC8" w:rsidRDefault="000C3714" w:rsidP="00165EC8">
            <w:pPr>
              <w:spacing w:after="0" w:line="240" w:lineRule="auto"/>
              <w:rPr>
                <w:rFonts w:cs="Arial"/>
                <w:color w:val="292929"/>
                <w:shd w:val="clear" w:color="auto" w:fill="FFFFFF"/>
              </w:rPr>
            </w:pPr>
            <w:r w:rsidRPr="00165EC8">
              <w:rPr>
                <w:rFonts w:cs="Arial"/>
                <w:color w:val="292929"/>
                <w:shd w:val="clear" w:color="auto" w:fill="FFFFFF"/>
              </w:rPr>
              <w:t>‘Cameras, still’ do not qualify.</w:t>
            </w:r>
          </w:p>
          <w:p w:rsidR="000C3714" w:rsidRPr="00165EC8" w:rsidRDefault="000C3714" w:rsidP="00165EC8">
            <w:pPr>
              <w:spacing w:after="0" w:line="240" w:lineRule="auto"/>
              <w:rPr>
                <w:rFonts w:cs="Arial"/>
                <w:color w:val="292929"/>
                <w:shd w:val="clear" w:color="auto" w:fill="FFFFFF"/>
              </w:rPr>
            </w:pPr>
          </w:p>
        </w:tc>
        <w:tc>
          <w:tcPr>
            <w:tcW w:w="0" w:type="auto"/>
          </w:tcPr>
          <w:p w:rsidR="000C3714" w:rsidRPr="00165EC8" w:rsidRDefault="000C3714" w:rsidP="00165EC8">
            <w:pPr>
              <w:spacing w:after="0" w:line="240" w:lineRule="auto"/>
              <w:rPr>
                <w:rFonts w:cs="Arial"/>
                <w:color w:val="292929"/>
                <w:shd w:val="clear" w:color="auto" w:fill="FFFFFF"/>
              </w:rPr>
            </w:pPr>
            <w:r w:rsidRPr="00165EC8">
              <w:t>Unclear – to be discussed – see issue.</w:t>
            </w:r>
          </w:p>
        </w:tc>
        <w:tc>
          <w:tcPr>
            <w:tcW w:w="0" w:type="auto"/>
          </w:tcPr>
          <w:p w:rsidR="000C3714" w:rsidRPr="00165EC8" w:rsidRDefault="000C3714" w:rsidP="00165EC8">
            <w:pPr>
              <w:spacing w:after="0" w:line="240" w:lineRule="auto"/>
            </w:pPr>
            <w:r w:rsidRPr="00165EC8">
              <w:t>HMRC believes this would be case specific and that the design intention of the product needs to be considered. It is possible that some specialist cameras may qualify for relief, probably as scientific equipment (being used to measure something). Guidance from the Charities VAT Relief helpline can be sought if needed.</w:t>
            </w:r>
          </w:p>
        </w:tc>
      </w:tr>
      <w:tr w:rsidR="000C3714" w:rsidRPr="00165EC8" w:rsidTr="00165EC8">
        <w:trPr>
          <w:cantSplit/>
        </w:trPr>
        <w:tc>
          <w:tcPr>
            <w:tcW w:w="0" w:type="auto"/>
          </w:tcPr>
          <w:p w:rsidR="000C3714" w:rsidRPr="00165EC8" w:rsidRDefault="000C3714" w:rsidP="00165EC8">
            <w:pPr>
              <w:spacing w:after="0" w:line="240" w:lineRule="auto"/>
            </w:pPr>
            <w:r w:rsidRPr="00165EC8">
              <w:t>4</w:t>
            </w:r>
          </w:p>
        </w:tc>
        <w:tc>
          <w:tcPr>
            <w:tcW w:w="0" w:type="auto"/>
          </w:tcPr>
          <w:p w:rsidR="000C3714" w:rsidRPr="00165EC8" w:rsidRDefault="000C3714" w:rsidP="00165EC8">
            <w:pPr>
              <w:spacing w:after="0" w:line="240" w:lineRule="auto"/>
            </w:pPr>
            <w:r w:rsidRPr="00165EC8">
              <w:t>Tablets e.g. iPads</w:t>
            </w:r>
          </w:p>
        </w:tc>
        <w:tc>
          <w:tcPr>
            <w:tcW w:w="0" w:type="auto"/>
          </w:tcPr>
          <w:p w:rsidR="000C3714" w:rsidRPr="00165EC8" w:rsidRDefault="000C3714" w:rsidP="00165EC8">
            <w:pPr>
              <w:spacing w:after="0" w:line="240" w:lineRule="auto"/>
            </w:pPr>
            <w:r w:rsidRPr="00165EC8">
              <w:t>Not clear whether these can be treated as computer equipment, but are essentially portable computing devices (as laptops are)</w:t>
            </w:r>
          </w:p>
        </w:tc>
        <w:tc>
          <w:tcPr>
            <w:tcW w:w="0" w:type="auto"/>
          </w:tcPr>
          <w:p w:rsidR="000C3714" w:rsidRPr="00165EC8" w:rsidRDefault="000C3714" w:rsidP="00165EC8">
            <w:pPr>
              <w:spacing w:after="0" w:line="240" w:lineRule="auto"/>
            </w:pPr>
            <w:r w:rsidRPr="00165EC8">
              <w:t>Silent</w:t>
            </w:r>
          </w:p>
        </w:tc>
        <w:tc>
          <w:tcPr>
            <w:tcW w:w="0" w:type="auto"/>
          </w:tcPr>
          <w:p w:rsidR="000C3714" w:rsidRPr="00165EC8" w:rsidRDefault="000C3714" w:rsidP="00165EC8">
            <w:pPr>
              <w:spacing w:after="0" w:line="240" w:lineRule="auto"/>
            </w:pPr>
            <w:r w:rsidRPr="00165EC8">
              <w:t>‘Tablet computers’ qualify as computer equipment.</w:t>
            </w:r>
          </w:p>
        </w:tc>
        <w:tc>
          <w:tcPr>
            <w:tcW w:w="0" w:type="auto"/>
          </w:tcPr>
          <w:p w:rsidR="000C3714" w:rsidRPr="00165EC8" w:rsidRDefault="000C3714" w:rsidP="00165EC8">
            <w:pPr>
              <w:spacing w:after="0" w:line="240" w:lineRule="auto"/>
            </w:pPr>
            <w:r w:rsidRPr="00165EC8">
              <w:t>HMRC agree that in principle these qualify as computer equipment, but were sceptical that many, if any, would be solely used for medical/veterinary research. It would be very hard to provide evidence that use was mainly for medical/veterinary research etc. so may not qualify for relief in many cases.</w:t>
            </w:r>
          </w:p>
        </w:tc>
      </w:tr>
      <w:tr w:rsidR="000C3714" w:rsidRPr="00165EC8" w:rsidTr="00165EC8">
        <w:trPr>
          <w:cantSplit/>
        </w:trPr>
        <w:tc>
          <w:tcPr>
            <w:tcW w:w="0" w:type="auto"/>
          </w:tcPr>
          <w:p w:rsidR="000C3714" w:rsidRPr="00165EC8" w:rsidRDefault="000C3714" w:rsidP="00165EC8">
            <w:pPr>
              <w:spacing w:after="0" w:line="240" w:lineRule="auto"/>
            </w:pPr>
            <w:r w:rsidRPr="00165EC8">
              <w:t>5</w:t>
            </w:r>
          </w:p>
        </w:tc>
        <w:tc>
          <w:tcPr>
            <w:tcW w:w="0" w:type="auto"/>
          </w:tcPr>
          <w:p w:rsidR="000C3714" w:rsidRPr="00165EC8" w:rsidRDefault="000C3714" w:rsidP="00165EC8">
            <w:pPr>
              <w:spacing w:after="0" w:line="240" w:lineRule="auto"/>
            </w:pPr>
            <w:r w:rsidRPr="00165EC8">
              <w:t>Smartphones e.g. iPhones</w:t>
            </w:r>
          </w:p>
        </w:tc>
        <w:tc>
          <w:tcPr>
            <w:tcW w:w="0" w:type="auto"/>
          </w:tcPr>
          <w:p w:rsidR="000C3714" w:rsidRPr="00165EC8" w:rsidRDefault="000C3714" w:rsidP="00165EC8">
            <w:pPr>
              <w:spacing w:after="0" w:line="240" w:lineRule="auto"/>
            </w:pPr>
            <w:r w:rsidRPr="00165EC8">
              <w:t>Not clear whether these can be treated as computer equipment or whether they should be treated as (non-qualifying) mobile phones – not clear what their main/primary function is these days – are they used more for email and data than for telephony in reality?</w:t>
            </w:r>
          </w:p>
        </w:tc>
        <w:tc>
          <w:tcPr>
            <w:tcW w:w="0" w:type="auto"/>
          </w:tcPr>
          <w:p w:rsidR="000C3714" w:rsidRPr="00165EC8" w:rsidRDefault="000C3714" w:rsidP="00165EC8">
            <w:pPr>
              <w:spacing w:after="0" w:line="240" w:lineRule="auto"/>
            </w:pPr>
            <w:r w:rsidRPr="00165EC8">
              <w:t>Silent</w:t>
            </w:r>
          </w:p>
        </w:tc>
        <w:tc>
          <w:tcPr>
            <w:tcW w:w="0" w:type="auto"/>
          </w:tcPr>
          <w:p w:rsidR="000C3714" w:rsidRPr="00165EC8" w:rsidRDefault="000C3714" w:rsidP="00165EC8">
            <w:pPr>
              <w:spacing w:after="0" w:line="240" w:lineRule="auto"/>
            </w:pPr>
            <w:r w:rsidRPr="00165EC8">
              <w:t>Unclear – to be discussed – see issue.</w:t>
            </w:r>
          </w:p>
        </w:tc>
        <w:tc>
          <w:tcPr>
            <w:tcW w:w="0" w:type="auto"/>
          </w:tcPr>
          <w:p w:rsidR="000C3714" w:rsidRPr="00165EC8" w:rsidRDefault="000C3714" w:rsidP="00165EC8">
            <w:pPr>
              <w:spacing w:after="0" w:line="240" w:lineRule="auto"/>
            </w:pPr>
            <w:r w:rsidRPr="00165EC8">
              <w:t>HMRC do not believe these qualify as they believe they are telecommunications equipment.</w:t>
            </w:r>
          </w:p>
        </w:tc>
      </w:tr>
      <w:tr w:rsidR="000C3714" w:rsidRPr="00165EC8" w:rsidTr="00165EC8">
        <w:trPr>
          <w:cantSplit/>
        </w:trPr>
        <w:tc>
          <w:tcPr>
            <w:tcW w:w="0" w:type="auto"/>
          </w:tcPr>
          <w:p w:rsidR="000C3714" w:rsidRPr="00165EC8" w:rsidRDefault="000C3714" w:rsidP="00165EC8">
            <w:pPr>
              <w:spacing w:after="0" w:line="240" w:lineRule="auto"/>
            </w:pPr>
            <w:r w:rsidRPr="00165EC8">
              <w:t>6</w:t>
            </w:r>
          </w:p>
        </w:tc>
        <w:tc>
          <w:tcPr>
            <w:tcW w:w="0" w:type="auto"/>
          </w:tcPr>
          <w:p w:rsidR="000C3714" w:rsidRPr="00165EC8" w:rsidRDefault="000C3714" w:rsidP="00165EC8">
            <w:pPr>
              <w:spacing w:after="0" w:line="240" w:lineRule="auto"/>
            </w:pPr>
            <w:r w:rsidRPr="00165EC8">
              <w:t>Printer cartridges</w:t>
            </w:r>
          </w:p>
        </w:tc>
        <w:tc>
          <w:tcPr>
            <w:tcW w:w="0" w:type="auto"/>
          </w:tcPr>
          <w:p w:rsidR="000C3714" w:rsidRPr="00165EC8" w:rsidRDefault="000C3714" w:rsidP="00165EC8">
            <w:pPr>
              <w:spacing w:after="0" w:line="240" w:lineRule="auto"/>
            </w:pPr>
            <w:r w:rsidRPr="00165EC8">
              <w:t>Can these be treated as parts to accessories?  What is the current position on this?  Needs to be specifically covered as cartridges are often very expensive</w:t>
            </w:r>
          </w:p>
        </w:tc>
        <w:tc>
          <w:tcPr>
            <w:tcW w:w="0" w:type="auto"/>
          </w:tcPr>
          <w:p w:rsidR="000C3714" w:rsidRPr="00165EC8" w:rsidRDefault="000C3714" w:rsidP="00165EC8">
            <w:pPr>
              <w:spacing w:after="0" w:line="240" w:lineRule="auto"/>
            </w:pPr>
          </w:p>
        </w:tc>
        <w:tc>
          <w:tcPr>
            <w:tcW w:w="0" w:type="auto"/>
          </w:tcPr>
          <w:p w:rsidR="000C3714" w:rsidRPr="00165EC8" w:rsidRDefault="000C3714" w:rsidP="00165EC8">
            <w:pPr>
              <w:spacing w:after="0" w:line="240" w:lineRule="auto"/>
            </w:pPr>
          </w:p>
        </w:tc>
        <w:tc>
          <w:tcPr>
            <w:tcW w:w="0" w:type="auto"/>
          </w:tcPr>
          <w:p w:rsidR="000C3714" w:rsidRPr="00165EC8" w:rsidRDefault="000C3714" w:rsidP="00165EC8">
            <w:pPr>
              <w:spacing w:after="0" w:line="240" w:lineRule="auto"/>
            </w:pPr>
            <w:r w:rsidRPr="00165EC8">
              <w:t>HMRC consider these to be consumables and not equipment or accessories/parts so they do not qualify for relief.</w:t>
            </w:r>
          </w:p>
        </w:tc>
      </w:tr>
      <w:tr w:rsidR="000C3714" w:rsidRPr="00165EC8" w:rsidTr="00165EC8">
        <w:trPr>
          <w:cantSplit/>
        </w:trPr>
        <w:tc>
          <w:tcPr>
            <w:tcW w:w="0" w:type="auto"/>
          </w:tcPr>
          <w:p w:rsidR="000C3714" w:rsidRPr="00165EC8" w:rsidRDefault="000C3714" w:rsidP="00165EC8">
            <w:pPr>
              <w:spacing w:after="0" w:line="240" w:lineRule="auto"/>
            </w:pPr>
            <w:r w:rsidRPr="00165EC8">
              <w:t>7</w:t>
            </w:r>
          </w:p>
        </w:tc>
        <w:tc>
          <w:tcPr>
            <w:tcW w:w="0" w:type="auto"/>
          </w:tcPr>
          <w:p w:rsidR="000C3714" w:rsidRPr="00165EC8" w:rsidRDefault="000C3714" w:rsidP="00165EC8">
            <w:pPr>
              <w:spacing w:after="0" w:line="240" w:lineRule="auto"/>
            </w:pPr>
            <w:r w:rsidRPr="00165EC8">
              <w:t>Lab coats</w:t>
            </w:r>
          </w:p>
        </w:tc>
        <w:tc>
          <w:tcPr>
            <w:tcW w:w="0" w:type="auto"/>
          </w:tcPr>
          <w:p w:rsidR="000C3714" w:rsidRPr="00165EC8" w:rsidRDefault="000C3714" w:rsidP="00165EC8">
            <w:pPr>
              <w:pStyle w:val="ListParagraph"/>
              <w:numPr>
                <w:ilvl w:val="0"/>
                <w:numId w:val="3"/>
              </w:numPr>
              <w:spacing w:after="0" w:line="240" w:lineRule="auto"/>
            </w:pPr>
            <w:r w:rsidRPr="00165EC8">
              <w:t xml:space="preserve">Are they all lab equipment?  </w:t>
            </w:r>
          </w:p>
          <w:p w:rsidR="000C3714" w:rsidRPr="00165EC8" w:rsidRDefault="000C3714" w:rsidP="00165EC8">
            <w:pPr>
              <w:pStyle w:val="ListParagraph"/>
              <w:numPr>
                <w:ilvl w:val="0"/>
                <w:numId w:val="3"/>
              </w:numPr>
              <w:spacing w:after="0" w:line="240" w:lineRule="auto"/>
            </w:pPr>
            <w:r w:rsidRPr="00165EC8">
              <w:t xml:space="preserve">At least one HEI has a ruling that these are lab equipment (on the basis that if surgical gowns qualify as medical equipment, then clothing is ‘equipment’ and lab coats are therefore lab equipment). </w:t>
            </w:r>
          </w:p>
          <w:p w:rsidR="000C3714" w:rsidRPr="00165EC8" w:rsidRDefault="000C3714" w:rsidP="00165EC8">
            <w:pPr>
              <w:pStyle w:val="ListParagraph"/>
              <w:numPr>
                <w:ilvl w:val="0"/>
                <w:numId w:val="3"/>
              </w:numPr>
              <w:spacing w:after="0" w:line="240" w:lineRule="auto"/>
              <w:rPr>
                <w:rFonts w:cs="Arial"/>
                <w:color w:val="252525"/>
                <w:shd w:val="clear" w:color="auto" w:fill="FFFFFF"/>
              </w:rPr>
            </w:pPr>
            <w:r w:rsidRPr="00165EC8">
              <w:t>If not all lab coats, then surely at the very least ‘Howie’ style lab coats qualify (these were designed to comply with 1978 Howie report setting out</w:t>
            </w:r>
            <w:r w:rsidRPr="00165EC8">
              <w:rPr>
                <w:rFonts w:cs="Arial"/>
                <w:color w:val="252525"/>
                <w:shd w:val="clear" w:color="auto" w:fill="FFFFFF"/>
              </w:rPr>
              <w:t xml:space="preserve"> standard clinical laboratory practices).  </w:t>
            </w:r>
          </w:p>
          <w:p w:rsidR="000C3714" w:rsidRPr="00165EC8" w:rsidRDefault="000C3714" w:rsidP="00165EC8">
            <w:pPr>
              <w:pStyle w:val="ListParagraph"/>
              <w:numPr>
                <w:ilvl w:val="0"/>
                <w:numId w:val="3"/>
              </w:numPr>
              <w:spacing w:after="0" w:line="240" w:lineRule="auto"/>
              <w:rPr>
                <w:rFonts w:cs="Arial"/>
                <w:color w:val="252525"/>
                <w:shd w:val="clear" w:color="auto" w:fill="FFFFFF"/>
              </w:rPr>
            </w:pPr>
            <w:r w:rsidRPr="00165EC8">
              <w:rPr>
                <w:rFonts w:cs="Arial"/>
                <w:color w:val="252525"/>
                <w:shd w:val="clear" w:color="auto" w:fill="FFFFFF"/>
              </w:rPr>
              <w:t>Why the distinction in section 4.2.1 between stating that clothing is not ‘equipment’ unless it is ‘specialist, medical equipment’?  If it is specifically ‘designed’ for a lab, surely this is equipment too?</w:t>
            </w:r>
          </w:p>
        </w:tc>
        <w:tc>
          <w:tcPr>
            <w:tcW w:w="0" w:type="auto"/>
          </w:tcPr>
          <w:p w:rsidR="000C3714" w:rsidRPr="00165EC8" w:rsidRDefault="000C3714" w:rsidP="00165EC8">
            <w:pPr>
              <w:spacing w:after="0" w:line="240" w:lineRule="auto"/>
            </w:pPr>
            <w:r w:rsidRPr="00165EC8">
              <w:t>Silent in table 4.11</w:t>
            </w:r>
          </w:p>
          <w:p w:rsidR="000C3714" w:rsidRPr="00165EC8" w:rsidRDefault="000C3714" w:rsidP="00165EC8">
            <w:pPr>
              <w:shd w:val="clear" w:color="auto" w:fill="FFFFFF"/>
              <w:spacing w:after="0" w:line="240" w:lineRule="auto"/>
              <w:rPr>
                <w:rFonts w:cs="Arial"/>
                <w:color w:val="292929"/>
                <w:lang w:eastAsia="en-GB"/>
              </w:rPr>
            </w:pPr>
            <w:r w:rsidRPr="00165EC8">
              <w:t>Section 4.2.1 states “</w:t>
            </w:r>
            <w:r w:rsidRPr="00165EC8">
              <w:rPr>
                <w:rFonts w:cs="Arial"/>
                <w:color w:val="292929"/>
                <w:shd w:val="clear" w:color="auto" w:fill="FFFFFF"/>
              </w:rPr>
              <w:t>The following items are not equipment and do not qualify for zero-rating….</w:t>
            </w:r>
          </w:p>
          <w:p w:rsidR="000C3714" w:rsidRPr="00165EC8" w:rsidRDefault="000C3714" w:rsidP="00165EC8">
            <w:pPr>
              <w:numPr>
                <w:ilvl w:val="0"/>
                <w:numId w:val="4"/>
              </w:numPr>
              <w:shd w:val="clear" w:color="auto" w:fill="FFFFFF"/>
              <w:spacing w:after="0" w:line="240" w:lineRule="auto"/>
              <w:ind w:left="312"/>
              <w:rPr>
                <w:rFonts w:cs="Arial"/>
                <w:color w:val="292929"/>
                <w:lang w:eastAsia="en-GB"/>
              </w:rPr>
            </w:pPr>
            <w:r w:rsidRPr="00165EC8">
              <w:rPr>
                <w:rFonts w:cs="Arial"/>
                <w:color w:val="292929"/>
                <w:lang w:eastAsia="en-GB"/>
              </w:rPr>
              <w:t>clothing (other than specialist medical equipment such as surgical masks, gowns and gloves)”</w:t>
            </w:r>
          </w:p>
          <w:p w:rsidR="000C3714" w:rsidRPr="00165EC8" w:rsidRDefault="000C3714" w:rsidP="00165EC8">
            <w:pPr>
              <w:spacing w:after="0" w:line="240" w:lineRule="auto"/>
            </w:pPr>
          </w:p>
        </w:tc>
        <w:tc>
          <w:tcPr>
            <w:tcW w:w="0" w:type="auto"/>
          </w:tcPr>
          <w:p w:rsidR="000C3714" w:rsidRPr="00165EC8" w:rsidRDefault="000C3714" w:rsidP="00165EC8">
            <w:pPr>
              <w:spacing w:after="0" w:line="240" w:lineRule="auto"/>
            </w:pPr>
            <w:r w:rsidRPr="00165EC8">
              <w:t xml:space="preserve">Table 4.11: </w:t>
            </w:r>
          </w:p>
          <w:p w:rsidR="000C3714" w:rsidRPr="00165EC8" w:rsidRDefault="000C3714" w:rsidP="00165EC8">
            <w:pPr>
              <w:spacing w:after="0" w:line="240" w:lineRule="auto"/>
            </w:pPr>
            <w:r w:rsidRPr="00165EC8">
              <w:t>‘Lab coats’ qualify as Laboratory equipment.</w:t>
            </w:r>
          </w:p>
          <w:p w:rsidR="000C3714" w:rsidRPr="00165EC8" w:rsidRDefault="000C3714" w:rsidP="00165EC8">
            <w:pPr>
              <w:spacing w:after="0" w:line="240" w:lineRule="auto"/>
            </w:pPr>
            <w:r w:rsidRPr="00165EC8">
              <w:t>Section 4.2.1:</w:t>
            </w:r>
          </w:p>
          <w:p w:rsidR="000C3714" w:rsidRPr="00165EC8" w:rsidRDefault="000C3714" w:rsidP="00165EC8">
            <w:pPr>
              <w:shd w:val="clear" w:color="auto" w:fill="FFFFFF"/>
              <w:spacing w:after="0" w:line="240" w:lineRule="auto"/>
              <w:rPr>
                <w:rFonts w:cs="Arial"/>
                <w:color w:val="292929"/>
                <w:lang w:eastAsia="en-GB"/>
              </w:rPr>
            </w:pPr>
            <w:r w:rsidRPr="00165EC8">
              <w:t>“</w:t>
            </w:r>
            <w:r w:rsidRPr="00165EC8">
              <w:rPr>
                <w:rFonts w:cs="Arial"/>
                <w:color w:val="292929"/>
                <w:shd w:val="clear" w:color="auto" w:fill="FFFFFF"/>
              </w:rPr>
              <w:t>The following items are not equipment and do not qualify for zero-rating….</w:t>
            </w:r>
          </w:p>
          <w:p w:rsidR="000C3714" w:rsidRPr="00165EC8" w:rsidRDefault="000C3714" w:rsidP="00165EC8">
            <w:pPr>
              <w:spacing w:after="0" w:line="240" w:lineRule="auto"/>
            </w:pPr>
            <w:r w:rsidRPr="00165EC8">
              <w:rPr>
                <w:rFonts w:cs="Arial"/>
                <w:color w:val="292929"/>
                <w:lang w:eastAsia="en-GB"/>
              </w:rPr>
              <w:t>clothing (other than specialist medical equipment such as surgical masks, gowns and gloves, or clothing specifically designed for use in a laboratory such as ‘Howie’ style lab coats)”</w:t>
            </w:r>
          </w:p>
          <w:p w:rsidR="000C3714" w:rsidRPr="00165EC8" w:rsidRDefault="000C3714" w:rsidP="00165EC8">
            <w:pPr>
              <w:spacing w:after="0" w:line="240" w:lineRule="auto"/>
            </w:pPr>
          </w:p>
        </w:tc>
        <w:tc>
          <w:tcPr>
            <w:tcW w:w="0" w:type="auto"/>
          </w:tcPr>
          <w:p w:rsidR="000C3714" w:rsidRPr="00165EC8" w:rsidRDefault="000C3714" w:rsidP="00165EC8">
            <w:pPr>
              <w:spacing w:after="0" w:line="240" w:lineRule="auto"/>
            </w:pPr>
            <w:r w:rsidRPr="00165EC8">
              <w:t>HMRC would like more information regarding Howie-style lab coats and what makes them specialist items that have been specifically designed for use in a lab.</w:t>
            </w:r>
          </w:p>
        </w:tc>
      </w:tr>
      <w:tr w:rsidR="000C3714" w:rsidRPr="00165EC8" w:rsidTr="00165EC8">
        <w:tc>
          <w:tcPr>
            <w:tcW w:w="0" w:type="auto"/>
          </w:tcPr>
          <w:p w:rsidR="000C3714" w:rsidRPr="00165EC8" w:rsidRDefault="000C3714" w:rsidP="00165EC8">
            <w:pPr>
              <w:spacing w:after="0" w:line="240" w:lineRule="auto"/>
            </w:pPr>
            <w:r w:rsidRPr="00165EC8">
              <w:t>8</w:t>
            </w:r>
          </w:p>
        </w:tc>
        <w:tc>
          <w:tcPr>
            <w:tcW w:w="0" w:type="auto"/>
          </w:tcPr>
          <w:p w:rsidR="000C3714" w:rsidRPr="00165EC8" w:rsidRDefault="000C3714" w:rsidP="00165EC8">
            <w:pPr>
              <w:spacing w:after="0" w:line="240" w:lineRule="auto"/>
            </w:pPr>
            <w:r w:rsidRPr="00165EC8">
              <w:t>Specialist animal cages</w:t>
            </w:r>
          </w:p>
        </w:tc>
        <w:tc>
          <w:tcPr>
            <w:tcW w:w="0" w:type="auto"/>
          </w:tcPr>
          <w:p w:rsidR="000C3714" w:rsidRPr="00165EC8" w:rsidRDefault="000C3714" w:rsidP="00165EC8">
            <w:pPr>
              <w:spacing w:after="0" w:line="240" w:lineRule="auto"/>
            </w:pPr>
            <w:r w:rsidRPr="00165EC8">
              <w:t>No update has been made to include these items as eligible as per the tribunal case 18247 ‘Supplier Ltd’</w:t>
            </w:r>
          </w:p>
        </w:tc>
        <w:tc>
          <w:tcPr>
            <w:tcW w:w="0" w:type="auto"/>
          </w:tcPr>
          <w:p w:rsidR="000C3714" w:rsidRPr="00165EC8" w:rsidRDefault="000C3714" w:rsidP="00165EC8">
            <w:pPr>
              <w:spacing w:after="0" w:line="240" w:lineRule="auto"/>
            </w:pPr>
            <w:r w:rsidRPr="00165EC8">
              <w:t>Silent</w:t>
            </w:r>
          </w:p>
        </w:tc>
        <w:tc>
          <w:tcPr>
            <w:tcW w:w="0" w:type="auto"/>
          </w:tcPr>
          <w:p w:rsidR="000C3714" w:rsidRPr="00165EC8" w:rsidRDefault="000C3714" w:rsidP="00165EC8">
            <w:pPr>
              <w:spacing w:after="0" w:line="240" w:lineRule="auto"/>
              <w:rPr>
                <w:color w:val="000000"/>
                <w:shd w:val="clear" w:color="auto" w:fill="FFFFFF"/>
              </w:rPr>
            </w:pPr>
            <w:r w:rsidRPr="00165EC8">
              <w:t xml:space="preserve">‘Specialist animal cages (e.g. </w:t>
            </w:r>
            <w:r w:rsidRPr="00165EC8">
              <w:rPr>
                <w:rStyle w:val="apple-converted-space"/>
                <w:color w:val="000000"/>
                <w:shd w:val="clear" w:color="auto" w:fill="FFFFFF"/>
              </w:rPr>
              <w:t> </w:t>
            </w:r>
            <w:r w:rsidRPr="00165EC8">
              <w:rPr>
                <w:color w:val="000000"/>
                <w:shd w:val="clear" w:color="auto" w:fill="FFFFFF"/>
              </w:rPr>
              <w:t>free from chemicals and not available for consumer use)’ qualify as laboratory equipment</w:t>
            </w:r>
          </w:p>
        </w:tc>
        <w:tc>
          <w:tcPr>
            <w:tcW w:w="0" w:type="auto"/>
          </w:tcPr>
          <w:p w:rsidR="000C3714" w:rsidRPr="00165EC8" w:rsidRDefault="000C3714" w:rsidP="00165EC8">
            <w:pPr>
              <w:spacing w:after="0" w:line="240" w:lineRule="auto"/>
            </w:pPr>
            <w:r w:rsidRPr="00165EC8">
              <w:t>HMRC agreed the notice should be updated to reflect this case law. (HMRC internal manuals include this).</w:t>
            </w:r>
          </w:p>
        </w:tc>
      </w:tr>
      <w:tr w:rsidR="000C3714" w:rsidRPr="00165EC8" w:rsidTr="00165EC8">
        <w:trPr>
          <w:cantSplit/>
        </w:trPr>
        <w:tc>
          <w:tcPr>
            <w:tcW w:w="0" w:type="auto"/>
          </w:tcPr>
          <w:p w:rsidR="000C3714" w:rsidRPr="00165EC8" w:rsidRDefault="000C3714" w:rsidP="00165EC8">
            <w:pPr>
              <w:spacing w:after="0" w:line="240" w:lineRule="auto"/>
            </w:pPr>
            <w:r w:rsidRPr="00165EC8">
              <w:t>9</w:t>
            </w:r>
          </w:p>
        </w:tc>
        <w:tc>
          <w:tcPr>
            <w:tcW w:w="0" w:type="auto"/>
          </w:tcPr>
          <w:p w:rsidR="000C3714" w:rsidRPr="00165EC8" w:rsidRDefault="000C3714" w:rsidP="00165EC8">
            <w:pPr>
              <w:spacing w:after="0" w:line="240" w:lineRule="auto"/>
            </w:pPr>
            <w:r w:rsidRPr="00165EC8">
              <w:t>Specialist bedding, cage liners and nesting materials for specialist animal cages</w:t>
            </w:r>
          </w:p>
        </w:tc>
        <w:tc>
          <w:tcPr>
            <w:tcW w:w="0" w:type="auto"/>
          </w:tcPr>
          <w:p w:rsidR="000C3714" w:rsidRPr="00165EC8" w:rsidRDefault="000C3714" w:rsidP="00165EC8">
            <w:pPr>
              <w:spacing w:after="0" w:line="240" w:lineRule="auto"/>
            </w:pPr>
            <w:r w:rsidRPr="00165EC8">
              <w:t>No update has been made to include these items as eligible as per the tribunal case 18247 ‘Supplier Ltd’</w:t>
            </w:r>
          </w:p>
        </w:tc>
        <w:tc>
          <w:tcPr>
            <w:tcW w:w="0" w:type="auto"/>
          </w:tcPr>
          <w:p w:rsidR="000C3714" w:rsidRPr="00165EC8" w:rsidRDefault="000C3714" w:rsidP="00165EC8">
            <w:pPr>
              <w:spacing w:after="0" w:line="240" w:lineRule="auto"/>
            </w:pPr>
            <w:r w:rsidRPr="00165EC8">
              <w:t>Silent</w:t>
            </w:r>
          </w:p>
        </w:tc>
        <w:tc>
          <w:tcPr>
            <w:tcW w:w="0" w:type="auto"/>
          </w:tcPr>
          <w:p w:rsidR="000C3714" w:rsidRPr="00165EC8" w:rsidRDefault="000C3714" w:rsidP="00165EC8">
            <w:pPr>
              <w:spacing w:after="0" w:line="240" w:lineRule="auto"/>
            </w:pPr>
            <w:r w:rsidRPr="00165EC8">
              <w:t xml:space="preserve">‘Specialist bedding, cage liners and nesting materials for specialist animal cages (e.g. free from chemicals)’ </w:t>
            </w:r>
            <w:r w:rsidRPr="00165EC8">
              <w:rPr>
                <w:color w:val="000000"/>
                <w:shd w:val="clear" w:color="auto" w:fill="FFFFFF"/>
              </w:rPr>
              <w:t>qualify as parts or accessories to laboratory equipment</w:t>
            </w:r>
          </w:p>
        </w:tc>
        <w:tc>
          <w:tcPr>
            <w:tcW w:w="0" w:type="auto"/>
          </w:tcPr>
          <w:p w:rsidR="000C3714" w:rsidRPr="00165EC8" w:rsidRDefault="000C3714" w:rsidP="00165EC8">
            <w:pPr>
              <w:spacing w:after="0" w:line="240" w:lineRule="auto"/>
            </w:pPr>
            <w:r w:rsidRPr="00165EC8">
              <w:t>HMRC agreed the notice should be updated to reflect this case law. (HMRC internal manuals include this).</w:t>
            </w:r>
          </w:p>
        </w:tc>
      </w:tr>
      <w:tr w:rsidR="000C3714" w:rsidRPr="00165EC8" w:rsidTr="00165EC8">
        <w:tc>
          <w:tcPr>
            <w:tcW w:w="0" w:type="auto"/>
          </w:tcPr>
          <w:p w:rsidR="000C3714" w:rsidRPr="00165EC8" w:rsidRDefault="000C3714" w:rsidP="00165EC8">
            <w:pPr>
              <w:spacing w:after="0" w:line="240" w:lineRule="auto"/>
            </w:pPr>
            <w:r w:rsidRPr="00165EC8">
              <w:t>10</w:t>
            </w:r>
          </w:p>
        </w:tc>
        <w:tc>
          <w:tcPr>
            <w:tcW w:w="0" w:type="auto"/>
          </w:tcPr>
          <w:p w:rsidR="000C3714" w:rsidRPr="00165EC8" w:rsidRDefault="000C3714" w:rsidP="00165EC8">
            <w:pPr>
              <w:spacing w:after="0" w:line="240" w:lineRule="auto"/>
            </w:pPr>
            <w:r w:rsidRPr="00165EC8">
              <w:t>Air filtration and filtering systems for animal facilities</w:t>
            </w:r>
          </w:p>
        </w:tc>
        <w:tc>
          <w:tcPr>
            <w:tcW w:w="0" w:type="auto"/>
          </w:tcPr>
          <w:p w:rsidR="000C3714" w:rsidRPr="00165EC8" w:rsidRDefault="000C3714" w:rsidP="00165EC8">
            <w:pPr>
              <w:spacing w:after="0" w:line="240" w:lineRule="auto"/>
            </w:pPr>
            <w:r w:rsidRPr="00165EC8">
              <w:t>Accessories to cages? Need to be differentiated from normal air conditioning which does not qualify</w:t>
            </w:r>
          </w:p>
        </w:tc>
        <w:tc>
          <w:tcPr>
            <w:tcW w:w="0" w:type="auto"/>
          </w:tcPr>
          <w:p w:rsidR="000C3714" w:rsidRPr="00165EC8" w:rsidRDefault="000C3714" w:rsidP="00165EC8">
            <w:pPr>
              <w:spacing w:after="0" w:line="240" w:lineRule="auto"/>
            </w:pPr>
            <w:r w:rsidRPr="00165EC8">
              <w:t>Silent</w:t>
            </w:r>
          </w:p>
        </w:tc>
        <w:tc>
          <w:tcPr>
            <w:tcW w:w="0" w:type="auto"/>
          </w:tcPr>
          <w:p w:rsidR="000C3714" w:rsidRPr="00165EC8" w:rsidRDefault="000C3714" w:rsidP="00165EC8">
            <w:pPr>
              <w:spacing w:after="0" w:line="240" w:lineRule="auto"/>
            </w:pPr>
            <w:r w:rsidRPr="00165EC8">
              <w:t>‘Air filtration and filtering systems for animal facilities’ qualify as laboratory equipment</w:t>
            </w:r>
          </w:p>
          <w:p w:rsidR="000C3714" w:rsidRPr="00165EC8" w:rsidRDefault="000C3714" w:rsidP="00165EC8">
            <w:pPr>
              <w:spacing w:after="0" w:line="240" w:lineRule="auto"/>
            </w:pPr>
            <w:r w:rsidRPr="00165EC8">
              <w:t>‘Air conditioners’ do not qualify.</w:t>
            </w:r>
          </w:p>
        </w:tc>
        <w:tc>
          <w:tcPr>
            <w:tcW w:w="0" w:type="auto"/>
          </w:tcPr>
          <w:p w:rsidR="000C3714" w:rsidRPr="00165EC8" w:rsidRDefault="000C3714" w:rsidP="00165EC8">
            <w:pPr>
              <w:spacing w:after="0" w:line="240" w:lineRule="auto"/>
            </w:pPr>
            <w:r w:rsidRPr="00165EC8">
              <w:t>HMRC agreed specialist systems for animal lab facilities that are built to meet specific and individual circumstances would qualify but the notice must be clear that air conditioners and normal air filters do not qualify.</w:t>
            </w:r>
          </w:p>
        </w:tc>
      </w:tr>
      <w:tr w:rsidR="000C3714" w:rsidRPr="00165EC8" w:rsidTr="00165EC8">
        <w:trPr>
          <w:cantSplit/>
        </w:trPr>
        <w:tc>
          <w:tcPr>
            <w:tcW w:w="0" w:type="auto"/>
          </w:tcPr>
          <w:p w:rsidR="000C3714" w:rsidRPr="00165EC8" w:rsidRDefault="000C3714" w:rsidP="00165EC8">
            <w:pPr>
              <w:spacing w:after="0" w:line="240" w:lineRule="auto"/>
            </w:pPr>
            <w:r w:rsidRPr="00165EC8">
              <w:t>11</w:t>
            </w:r>
          </w:p>
        </w:tc>
        <w:tc>
          <w:tcPr>
            <w:tcW w:w="0" w:type="auto"/>
          </w:tcPr>
          <w:p w:rsidR="000C3714" w:rsidRPr="00165EC8" w:rsidRDefault="000C3714" w:rsidP="00165EC8">
            <w:pPr>
              <w:spacing w:after="0" w:line="240" w:lineRule="auto"/>
            </w:pPr>
            <w:r w:rsidRPr="00165EC8">
              <w:t>Air control systems</w:t>
            </w:r>
          </w:p>
        </w:tc>
        <w:tc>
          <w:tcPr>
            <w:tcW w:w="0" w:type="auto"/>
          </w:tcPr>
          <w:p w:rsidR="000C3714" w:rsidRPr="00165EC8" w:rsidRDefault="000C3714" w:rsidP="00165EC8">
            <w:pPr>
              <w:spacing w:after="0" w:line="240" w:lineRule="auto"/>
            </w:pPr>
            <w:r w:rsidRPr="00165EC8">
              <w:t>No update has been made to include these items as eligible as per the tribunal case 19095 ‘Research Establishment’</w:t>
            </w:r>
          </w:p>
        </w:tc>
        <w:tc>
          <w:tcPr>
            <w:tcW w:w="0" w:type="auto"/>
          </w:tcPr>
          <w:p w:rsidR="000C3714" w:rsidRPr="00165EC8" w:rsidRDefault="000C3714" w:rsidP="00165EC8">
            <w:pPr>
              <w:spacing w:after="0" w:line="240" w:lineRule="auto"/>
            </w:pPr>
            <w:r w:rsidRPr="00165EC8">
              <w:t>Silent</w:t>
            </w:r>
          </w:p>
        </w:tc>
        <w:tc>
          <w:tcPr>
            <w:tcW w:w="0" w:type="auto"/>
          </w:tcPr>
          <w:p w:rsidR="000C3714" w:rsidRPr="00165EC8" w:rsidRDefault="000C3714" w:rsidP="00165EC8">
            <w:pPr>
              <w:spacing w:after="0" w:line="240" w:lineRule="auto"/>
            </w:pPr>
            <w:r w:rsidRPr="00165EC8">
              <w:t>‘Specialist air control systems capable of precisely controlling pressure as well as temperature and humidity’ qualify as laboratory equipment.</w:t>
            </w:r>
          </w:p>
          <w:p w:rsidR="000C3714" w:rsidRPr="00165EC8" w:rsidRDefault="000C3714" w:rsidP="00165EC8">
            <w:pPr>
              <w:spacing w:after="0" w:line="240" w:lineRule="auto"/>
            </w:pPr>
            <w:r w:rsidRPr="00165EC8">
              <w:t>‘Air conditioners’ do not qualify.</w:t>
            </w:r>
          </w:p>
        </w:tc>
        <w:tc>
          <w:tcPr>
            <w:tcW w:w="0" w:type="auto"/>
          </w:tcPr>
          <w:p w:rsidR="000C3714" w:rsidRPr="00165EC8" w:rsidRDefault="000C3714" w:rsidP="00165EC8">
            <w:pPr>
              <w:spacing w:after="0" w:line="240" w:lineRule="auto"/>
            </w:pPr>
            <w:r w:rsidRPr="00165EC8">
              <w:t>HMRC agreed the notice should be updated to reflect this case law. (HMRC internal manuals include this).</w:t>
            </w:r>
          </w:p>
        </w:tc>
      </w:tr>
      <w:tr w:rsidR="000C3714" w:rsidRPr="00165EC8" w:rsidTr="00165EC8">
        <w:trPr>
          <w:cantSplit/>
        </w:trPr>
        <w:tc>
          <w:tcPr>
            <w:tcW w:w="0" w:type="auto"/>
          </w:tcPr>
          <w:p w:rsidR="000C3714" w:rsidRPr="00165EC8" w:rsidRDefault="000C3714" w:rsidP="00165EC8">
            <w:pPr>
              <w:spacing w:after="0" w:line="240" w:lineRule="auto"/>
            </w:pPr>
            <w:r w:rsidRPr="00165EC8">
              <w:t>12</w:t>
            </w:r>
          </w:p>
        </w:tc>
        <w:tc>
          <w:tcPr>
            <w:tcW w:w="0" w:type="auto"/>
          </w:tcPr>
          <w:p w:rsidR="000C3714" w:rsidRPr="00165EC8" w:rsidRDefault="000C3714" w:rsidP="00165EC8">
            <w:pPr>
              <w:spacing w:after="0" w:line="240" w:lineRule="auto"/>
            </w:pPr>
            <w:r w:rsidRPr="00165EC8">
              <w:t>Data (e.g. sequence reads) supplied on specialist software</w:t>
            </w:r>
          </w:p>
        </w:tc>
        <w:tc>
          <w:tcPr>
            <w:tcW w:w="0" w:type="auto"/>
          </w:tcPr>
          <w:p w:rsidR="000C3714" w:rsidRPr="00165EC8" w:rsidRDefault="000C3714" w:rsidP="00165EC8">
            <w:pPr>
              <w:spacing w:after="0" w:line="240" w:lineRule="auto"/>
            </w:pPr>
            <w:r w:rsidRPr="00165EC8">
              <w:t>Is this a supply of qualifying software or non-qualifying data?</w:t>
            </w:r>
          </w:p>
        </w:tc>
        <w:tc>
          <w:tcPr>
            <w:tcW w:w="0" w:type="auto"/>
          </w:tcPr>
          <w:p w:rsidR="000C3714" w:rsidRPr="00165EC8" w:rsidRDefault="000C3714" w:rsidP="00165EC8">
            <w:pPr>
              <w:spacing w:after="0" w:line="240" w:lineRule="auto"/>
            </w:pPr>
            <w:r w:rsidRPr="00165EC8">
              <w:t>Silent</w:t>
            </w:r>
          </w:p>
        </w:tc>
        <w:tc>
          <w:tcPr>
            <w:tcW w:w="0" w:type="auto"/>
          </w:tcPr>
          <w:p w:rsidR="000C3714" w:rsidRPr="00165EC8" w:rsidRDefault="000C3714" w:rsidP="00165EC8">
            <w:pPr>
              <w:spacing w:after="0" w:line="240" w:lineRule="auto"/>
            </w:pPr>
            <w:r w:rsidRPr="00165EC8">
              <w:t>Unclear – to be discussed – see issue.</w:t>
            </w:r>
          </w:p>
        </w:tc>
        <w:tc>
          <w:tcPr>
            <w:tcW w:w="0" w:type="auto"/>
          </w:tcPr>
          <w:p w:rsidR="000C3714" w:rsidRPr="00165EC8" w:rsidRDefault="000C3714" w:rsidP="00165EC8">
            <w:pPr>
              <w:spacing w:after="0" w:line="240" w:lineRule="auto"/>
            </w:pPr>
            <w:r w:rsidRPr="00165EC8">
              <w:t xml:space="preserve">This very much depends on what the intention of the purchase is – is it to purchase the data or the software? If it is to purchase the data it will not qualify. </w:t>
            </w:r>
          </w:p>
        </w:tc>
      </w:tr>
      <w:tr w:rsidR="000C3714" w:rsidRPr="00165EC8" w:rsidTr="00165EC8">
        <w:trPr>
          <w:cantSplit/>
        </w:trPr>
        <w:tc>
          <w:tcPr>
            <w:tcW w:w="0" w:type="auto"/>
          </w:tcPr>
          <w:p w:rsidR="000C3714" w:rsidRPr="00165EC8" w:rsidRDefault="000C3714" w:rsidP="00165EC8">
            <w:pPr>
              <w:spacing w:after="0" w:line="240" w:lineRule="auto"/>
            </w:pPr>
            <w:r w:rsidRPr="00165EC8">
              <w:t>13</w:t>
            </w:r>
          </w:p>
        </w:tc>
        <w:tc>
          <w:tcPr>
            <w:tcW w:w="0" w:type="auto"/>
          </w:tcPr>
          <w:p w:rsidR="000C3714" w:rsidRPr="00165EC8" w:rsidRDefault="000C3714" w:rsidP="00165EC8">
            <w:pPr>
              <w:spacing w:after="0" w:line="240" w:lineRule="auto"/>
            </w:pPr>
            <w:r w:rsidRPr="00165EC8">
              <w:t>Parts to construct qualifying equipment where those parts are not qualifying items in their own right</w:t>
            </w:r>
          </w:p>
        </w:tc>
        <w:tc>
          <w:tcPr>
            <w:tcW w:w="0" w:type="auto"/>
          </w:tcPr>
          <w:p w:rsidR="000C3714" w:rsidRPr="00165EC8" w:rsidRDefault="000C3714" w:rsidP="00165EC8">
            <w:pPr>
              <w:spacing w:after="0" w:line="240" w:lineRule="auto"/>
            </w:pPr>
            <w:r w:rsidRPr="00165EC8">
              <w:t>If constructing some equipment in-house which would be qualifying equipment if purchased externally, can the purchase of the parts to construct it be treated as qualifying for zero-rating, even if they would not qualify in their own right? E.g. pipes, metal, springs etc.</w:t>
            </w:r>
          </w:p>
        </w:tc>
        <w:tc>
          <w:tcPr>
            <w:tcW w:w="0" w:type="auto"/>
          </w:tcPr>
          <w:p w:rsidR="000C3714" w:rsidRPr="00165EC8" w:rsidRDefault="000C3714" w:rsidP="00165EC8">
            <w:pPr>
              <w:spacing w:after="0" w:line="240" w:lineRule="auto"/>
            </w:pPr>
            <w:r w:rsidRPr="00165EC8">
              <w:t>Silent</w:t>
            </w:r>
          </w:p>
        </w:tc>
        <w:tc>
          <w:tcPr>
            <w:tcW w:w="0" w:type="auto"/>
          </w:tcPr>
          <w:p w:rsidR="000C3714" w:rsidRPr="00165EC8" w:rsidRDefault="000C3714" w:rsidP="00165EC8">
            <w:pPr>
              <w:spacing w:after="0" w:line="240" w:lineRule="auto"/>
            </w:pPr>
            <w:r w:rsidRPr="00165EC8">
              <w:t>Unclear – to be discussed – see issue.</w:t>
            </w:r>
          </w:p>
        </w:tc>
        <w:tc>
          <w:tcPr>
            <w:tcW w:w="0" w:type="auto"/>
          </w:tcPr>
          <w:p w:rsidR="000C3714" w:rsidRPr="00165EC8" w:rsidRDefault="000C3714" w:rsidP="00165EC8">
            <w:pPr>
              <w:spacing w:after="0" w:line="240" w:lineRule="auto"/>
            </w:pPr>
            <w:r w:rsidRPr="00165EC8">
              <w:t>The construction as a whole will not qualify for relief. The component parts will only qualify for relief if they qualify in their own right.</w:t>
            </w:r>
          </w:p>
          <w:p w:rsidR="000C3714" w:rsidRPr="00165EC8" w:rsidRDefault="000C3714" w:rsidP="00165EC8">
            <w:pPr>
              <w:spacing w:after="0" w:line="240" w:lineRule="auto"/>
            </w:pPr>
            <w:r w:rsidRPr="00165EC8">
              <w:t>[Note – not for Notice 701/6 -Potentially the parts could be purchased by a subsidiary company where the equipment is constructed and the constructed equipment sold as a qualifying zero-rated item to the eligible body).</w:t>
            </w:r>
          </w:p>
        </w:tc>
      </w:tr>
      <w:tr w:rsidR="000C3714" w:rsidRPr="00165EC8" w:rsidTr="00165EC8">
        <w:tc>
          <w:tcPr>
            <w:tcW w:w="0" w:type="auto"/>
          </w:tcPr>
          <w:p w:rsidR="000C3714" w:rsidRPr="00165EC8" w:rsidRDefault="000C3714" w:rsidP="00165EC8">
            <w:pPr>
              <w:spacing w:after="0" w:line="240" w:lineRule="auto"/>
            </w:pPr>
            <w:r w:rsidRPr="00165EC8">
              <w:t>14</w:t>
            </w:r>
          </w:p>
        </w:tc>
        <w:tc>
          <w:tcPr>
            <w:tcW w:w="0" w:type="auto"/>
          </w:tcPr>
          <w:p w:rsidR="000C3714" w:rsidRPr="00165EC8" w:rsidRDefault="000C3714" w:rsidP="00165EC8">
            <w:pPr>
              <w:spacing w:after="0" w:line="240" w:lineRule="auto"/>
            </w:pPr>
            <w:r w:rsidRPr="00165EC8">
              <w:t>Alcohol spray, Sterilizing wipes, Stericlean</w:t>
            </w:r>
            <w:bookmarkStart w:id="1" w:name="_GoBack"/>
            <w:bookmarkEnd w:id="1"/>
            <w:r w:rsidRPr="00165EC8">
              <w:t xml:space="preserve"> spray, Clean room wipes, Specialist bactericides, Biocidal sprays e.g. Aquaclean or Biocidal ZF</w:t>
            </w:r>
          </w:p>
        </w:tc>
        <w:tc>
          <w:tcPr>
            <w:tcW w:w="0" w:type="auto"/>
          </w:tcPr>
          <w:p w:rsidR="000C3714" w:rsidRPr="00165EC8" w:rsidRDefault="000C3714" w:rsidP="00165EC8">
            <w:pPr>
              <w:spacing w:after="0" w:line="240" w:lineRule="auto"/>
            </w:pPr>
            <w:r w:rsidRPr="00165EC8">
              <w:t>Used to clean research areas and keep heating baths free from growths. Are these laboratory or sterilising equipment?  Presumably not as they are not equipment.</w:t>
            </w:r>
          </w:p>
        </w:tc>
        <w:tc>
          <w:tcPr>
            <w:tcW w:w="0" w:type="auto"/>
          </w:tcPr>
          <w:p w:rsidR="000C3714" w:rsidRPr="00165EC8" w:rsidRDefault="000C3714" w:rsidP="00165EC8">
            <w:pPr>
              <w:spacing w:after="0" w:line="240" w:lineRule="auto"/>
            </w:pPr>
            <w:r w:rsidRPr="00165EC8">
              <w:t>‘</w:t>
            </w:r>
            <w:r w:rsidRPr="00165EC8">
              <w:rPr>
                <w:rFonts w:cs="Arial"/>
                <w:color w:val="292929"/>
                <w:lang w:eastAsia="en-GB"/>
              </w:rPr>
              <w:t>Sterilising solutions’ do not qualify.</w:t>
            </w:r>
          </w:p>
        </w:tc>
        <w:tc>
          <w:tcPr>
            <w:tcW w:w="0" w:type="auto"/>
          </w:tcPr>
          <w:p w:rsidR="000C3714" w:rsidRPr="00165EC8" w:rsidRDefault="000C3714" w:rsidP="00165EC8">
            <w:pPr>
              <w:spacing w:after="0" w:line="240" w:lineRule="auto"/>
            </w:pPr>
            <w:r w:rsidRPr="00165EC8">
              <w:t>‘</w:t>
            </w:r>
            <w:r w:rsidRPr="00165EC8">
              <w:rPr>
                <w:rFonts w:cs="Arial"/>
                <w:color w:val="292929"/>
                <w:lang w:eastAsia="en-GB"/>
              </w:rPr>
              <w:t>Sterilising solutions,</w:t>
            </w:r>
            <w:r w:rsidRPr="00165EC8">
              <w:t xml:space="preserve"> Sterilizing wipes, Stericlean spray, Clean room wipes, Specialist bactericides, Biocidal sprays</w:t>
            </w:r>
            <w:r w:rsidRPr="00165EC8">
              <w:rPr>
                <w:rFonts w:cs="Arial"/>
                <w:color w:val="292929"/>
                <w:lang w:eastAsia="en-GB"/>
              </w:rPr>
              <w:t>’ do not qualify.</w:t>
            </w:r>
          </w:p>
        </w:tc>
        <w:tc>
          <w:tcPr>
            <w:tcW w:w="0" w:type="auto"/>
          </w:tcPr>
          <w:p w:rsidR="000C3714" w:rsidRPr="00165EC8" w:rsidRDefault="000C3714" w:rsidP="00165EC8">
            <w:pPr>
              <w:spacing w:after="0" w:line="240" w:lineRule="auto"/>
            </w:pPr>
            <w:r w:rsidRPr="00165EC8">
              <w:t>HMRC to add these clarifications to the notice to make it clear these are consumables not equipment.</w:t>
            </w:r>
          </w:p>
        </w:tc>
      </w:tr>
      <w:tr w:rsidR="000C3714" w:rsidRPr="00165EC8" w:rsidTr="00165EC8">
        <w:trPr>
          <w:cantSplit/>
        </w:trPr>
        <w:tc>
          <w:tcPr>
            <w:tcW w:w="0" w:type="auto"/>
          </w:tcPr>
          <w:p w:rsidR="000C3714" w:rsidRPr="00165EC8" w:rsidRDefault="000C3714" w:rsidP="00165EC8">
            <w:pPr>
              <w:spacing w:after="0" w:line="240" w:lineRule="auto"/>
            </w:pPr>
            <w:r w:rsidRPr="00165EC8">
              <w:t>15</w:t>
            </w:r>
          </w:p>
        </w:tc>
        <w:tc>
          <w:tcPr>
            <w:tcW w:w="0" w:type="auto"/>
          </w:tcPr>
          <w:p w:rsidR="000C3714" w:rsidRPr="00165EC8" w:rsidRDefault="000C3714" w:rsidP="00165EC8">
            <w:pPr>
              <w:spacing w:after="0" w:line="240" w:lineRule="auto"/>
            </w:pPr>
            <w:r w:rsidRPr="00165EC8">
              <w:t xml:space="preserve">Air showers </w:t>
            </w:r>
          </w:p>
        </w:tc>
        <w:tc>
          <w:tcPr>
            <w:tcW w:w="0" w:type="auto"/>
          </w:tcPr>
          <w:p w:rsidR="000C3714" w:rsidRPr="00165EC8" w:rsidRDefault="000C3714" w:rsidP="00165EC8">
            <w:pPr>
              <w:spacing w:after="0" w:line="240" w:lineRule="auto"/>
            </w:pPr>
            <w:r w:rsidRPr="00165EC8">
              <w:t>Used when entering/leaving  a lab facility which houses animals to create a clean room environment</w:t>
            </w:r>
          </w:p>
        </w:tc>
        <w:tc>
          <w:tcPr>
            <w:tcW w:w="0" w:type="auto"/>
          </w:tcPr>
          <w:p w:rsidR="000C3714" w:rsidRPr="00165EC8" w:rsidRDefault="000C3714" w:rsidP="00165EC8">
            <w:pPr>
              <w:spacing w:after="0" w:line="240" w:lineRule="auto"/>
            </w:pPr>
            <w:r w:rsidRPr="00165EC8">
              <w:t>Silent</w:t>
            </w:r>
          </w:p>
        </w:tc>
        <w:tc>
          <w:tcPr>
            <w:tcW w:w="0" w:type="auto"/>
          </w:tcPr>
          <w:p w:rsidR="000C3714" w:rsidRPr="00165EC8" w:rsidRDefault="000C3714" w:rsidP="00165EC8">
            <w:pPr>
              <w:spacing w:after="0" w:line="240" w:lineRule="auto"/>
            </w:pPr>
            <w:r w:rsidRPr="00165EC8">
              <w:t>‘Air showers’ qualify as laboratory equipment.</w:t>
            </w:r>
          </w:p>
        </w:tc>
        <w:tc>
          <w:tcPr>
            <w:tcW w:w="0" w:type="auto"/>
          </w:tcPr>
          <w:p w:rsidR="000C3714" w:rsidRPr="00165EC8" w:rsidRDefault="000C3714" w:rsidP="00165EC8">
            <w:pPr>
              <w:spacing w:after="0" w:line="240" w:lineRule="auto"/>
            </w:pPr>
            <w:r w:rsidRPr="00165EC8">
              <w:t>HMRC feel the design intention is important here – were these designed to be used specifically in labs?</w:t>
            </w:r>
          </w:p>
        </w:tc>
      </w:tr>
      <w:tr w:rsidR="000C3714" w:rsidRPr="00165EC8" w:rsidTr="00165EC8">
        <w:tc>
          <w:tcPr>
            <w:tcW w:w="0" w:type="auto"/>
          </w:tcPr>
          <w:p w:rsidR="000C3714" w:rsidRPr="00165EC8" w:rsidRDefault="000C3714" w:rsidP="00165EC8">
            <w:pPr>
              <w:spacing w:after="0" w:line="240" w:lineRule="auto"/>
            </w:pPr>
            <w:r w:rsidRPr="00165EC8">
              <w:t>16</w:t>
            </w:r>
          </w:p>
        </w:tc>
        <w:tc>
          <w:tcPr>
            <w:tcW w:w="0" w:type="auto"/>
          </w:tcPr>
          <w:p w:rsidR="000C3714" w:rsidRPr="00165EC8" w:rsidRDefault="000C3714" w:rsidP="00165EC8">
            <w:pPr>
              <w:spacing w:after="0" w:line="240" w:lineRule="auto"/>
            </w:pPr>
            <w:r w:rsidRPr="00165EC8">
              <w:t>Animal bedding dispenser – a machine to dispense bedding for animal cages</w:t>
            </w:r>
          </w:p>
        </w:tc>
        <w:tc>
          <w:tcPr>
            <w:tcW w:w="0" w:type="auto"/>
          </w:tcPr>
          <w:p w:rsidR="000C3714" w:rsidRPr="00165EC8" w:rsidRDefault="000C3714" w:rsidP="00165EC8">
            <w:pPr>
              <w:spacing w:after="0" w:line="240" w:lineRule="auto"/>
            </w:pPr>
            <w:r w:rsidRPr="00165EC8">
              <w:t>Based on the ‘Supplier Ltd’ case (18247) these should qualify as accessories to the animal cages (which are qualifying equipment)</w:t>
            </w:r>
          </w:p>
        </w:tc>
        <w:tc>
          <w:tcPr>
            <w:tcW w:w="0" w:type="auto"/>
          </w:tcPr>
          <w:p w:rsidR="000C3714" w:rsidRPr="00165EC8" w:rsidRDefault="000C3714" w:rsidP="00165EC8">
            <w:pPr>
              <w:spacing w:after="0" w:line="240" w:lineRule="auto"/>
            </w:pPr>
            <w:r w:rsidRPr="00165EC8">
              <w:t>Silent</w:t>
            </w:r>
          </w:p>
        </w:tc>
        <w:tc>
          <w:tcPr>
            <w:tcW w:w="0" w:type="auto"/>
          </w:tcPr>
          <w:p w:rsidR="000C3714" w:rsidRPr="00165EC8" w:rsidRDefault="000C3714" w:rsidP="00165EC8">
            <w:pPr>
              <w:spacing w:after="0" w:line="240" w:lineRule="auto"/>
            </w:pPr>
            <w:r w:rsidRPr="00165EC8">
              <w:t>‘Animal bedding dispensers’ qualify as accessories to laboratory equipment</w:t>
            </w:r>
          </w:p>
        </w:tc>
        <w:tc>
          <w:tcPr>
            <w:tcW w:w="0" w:type="auto"/>
          </w:tcPr>
          <w:p w:rsidR="000C3714" w:rsidRPr="00165EC8" w:rsidRDefault="000C3714" w:rsidP="00165EC8">
            <w:pPr>
              <w:spacing w:after="0" w:line="240" w:lineRule="auto"/>
            </w:pPr>
            <w:r w:rsidRPr="00165EC8">
              <w:t>HMRC will consider updating the notice to reflect this case law. (HMRC internal manuals include references to bedding material but not to a separate machine that is used to dispense bedding. HMRC would need further evidence that this is an accessory to the qualifying cages).</w:t>
            </w:r>
          </w:p>
        </w:tc>
      </w:tr>
      <w:tr w:rsidR="000C3714" w:rsidRPr="00165EC8" w:rsidTr="00165EC8">
        <w:trPr>
          <w:cantSplit/>
        </w:trPr>
        <w:tc>
          <w:tcPr>
            <w:tcW w:w="0" w:type="auto"/>
          </w:tcPr>
          <w:p w:rsidR="000C3714" w:rsidRPr="00165EC8" w:rsidRDefault="000C3714" w:rsidP="00165EC8">
            <w:pPr>
              <w:spacing w:after="0" w:line="240" w:lineRule="auto"/>
            </w:pPr>
            <w:r w:rsidRPr="00165EC8">
              <w:t>17</w:t>
            </w:r>
          </w:p>
        </w:tc>
        <w:tc>
          <w:tcPr>
            <w:tcW w:w="0" w:type="auto"/>
          </w:tcPr>
          <w:p w:rsidR="000C3714" w:rsidRPr="00165EC8" w:rsidRDefault="000C3714" w:rsidP="00165EC8">
            <w:pPr>
              <w:spacing w:after="0" w:line="240" w:lineRule="auto"/>
            </w:pPr>
            <w:r w:rsidRPr="00165EC8">
              <w:t xml:space="preserve">Bottle washer – which washes (but does not sterilize) and fills animal water bottles </w:t>
            </w:r>
          </w:p>
        </w:tc>
        <w:tc>
          <w:tcPr>
            <w:tcW w:w="0" w:type="auto"/>
          </w:tcPr>
          <w:p w:rsidR="000C3714" w:rsidRPr="00165EC8" w:rsidRDefault="000C3714" w:rsidP="00165EC8">
            <w:pPr>
              <w:spacing w:after="0" w:line="240" w:lineRule="auto"/>
            </w:pPr>
            <w:r w:rsidRPr="00165EC8">
              <w:t xml:space="preserve">This cannot be used for anything else so should qualify for zero-rating but is it laboratory equipment in its own right, or an accessory to the cages (which qualify as laboratory equipment)? </w:t>
            </w:r>
          </w:p>
        </w:tc>
        <w:tc>
          <w:tcPr>
            <w:tcW w:w="0" w:type="auto"/>
          </w:tcPr>
          <w:p w:rsidR="000C3714" w:rsidRPr="00165EC8" w:rsidRDefault="000C3714" w:rsidP="00165EC8">
            <w:pPr>
              <w:spacing w:after="0" w:line="240" w:lineRule="auto"/>
            </w:pPr>
            <w:r w:rsidRPr="00165EC8">
              <w:t>Silent</w:t>
            </w:r>
          </w:p>
        </w:tc>
        <w:tc>
          <w:tcPr>
            <w:tcW w:w="0" w:type="auto"/>
          </w:tcPr>
          <w:p w:rsidR="000C3714" w:rsidRPr="00165EC8" w:rsidRDefault="000C3714" w:rsidP="00165EC8">
            <w:pPr>
              <w:spacing w:after="0" w:line="240" w:lineRule="auto"/>
            </w:pPr>
            <w:r w:rsidRPr="00165EC8">
              <w:t>Unclear – to be discussed – see issue.</w:t>
            </w:r>
          </w:p>
        </w:tc>
        <w:tc>
          <w:tcPr>
            <w:tcW w:w="0" w:type="auto"/>
          </w:tcPr>
          <w:p w:rsidR="000C3714" w:rsidRPr="00165EC8" w:rsidRDefault="000C3714" w:rsidP="00165EC8">
            <w:pPr>
              <w:spacing w:after="0" w:line="240" w:lineRule="auto"/>
            </w:pPr>
            <w:r w:rsidRPr="00165EC8">
              <w:t>This does not appear to qualify HMRC would need more information about these in order to decide on revising the guidance.</w:t>
            </w:r>
          </w:p>
        </w:tc>
      </w:tr>
      <w:tr w:rsidR="000C3714" w:rsidRPr="00165EC8" w:rsidTr="00165EC8">
        <w:tc>
          <w:tcPr>
            <w:tcW w:w="0" w:type="auto"/>
          </w:tcPr>
          <w:p w:rsidR="000C3714" w:rsidRPr="00165EC8" w:rsidRDefault="000C3714" w:rsidP="00165EC8">
            <w:pPr>
              <w:spacing w:after="0" w:line="240" w:lineRule="auto"/>
            </w:pPr>
            <w:r w:rsidRPr="00165EC8">
              <w:t>18</w:t>
            </w:r>
          </w:p>
        </w:tc>
        <w:tc>
          <w:tcPr>
            <w:tcW w:w="0" w:type="auto"/>
          </w:tcPr>
          <w:p w:rsidR="000C3714" w:rsidRPr="00165EC8" w:rsidRDefault="000C3714" w:rsidP="00165EC8">
            <w:pPr>
              <w:spacing w:after="0" w:line="240" w:lineRule="auto"/>
            </w:pPr>
            <w:r w:rsidRPr="00165EC8">
              <w:t>Sharps bins</w:t>
            </w:r>
          </w:p>
        </w:tc>
        <w:tc>
          <w:tcPr>
            <w:tcW w:w="0" w:type="auto"/>
          </w:tcPr>
          <w:p w:rsidR="000C3714" w:rsidRPr="00165EC8" w:rsidRDefault="000C3714" w:rsidP="00165EC8">
            <w:pPr>
              <w:spacing w:after="0" w:line="240" w:lineRule="auto"/>
            </w:pPr>
            <w:r w:rsidRPr="00165EC8">
              <w:t>Designed specifically for disposal of syringe needles – would these specific items qualify as medical or laboratory equipment?</w:t>
            </w:r>
          </w:p>
        </w:tc>
        <w:tc>
          <w:tcPr>
            <w:tcW w:w="0" w:type="auto"/>
          </w:tcPr>
          <w:p w:rsidR="000C3714" w:rsidRPr="00165EC8" w:rsidRDefault="000C3714" w:rsidP="00165EC8">
            <w:pPr>
              <w:spacing w:after="0" w:line="240" w:lineRule="auto"/>
            </w:pPr>
            <w:r w:rsidRPr="00165EC8">
              <w:rPr>
                <w:rFonts w:cs="Arial"/>
                <w:color w:val="292929"/>
                <w:lang w:eastAsia="en-GB"/>
              </w:rPr>
              <w:t>‘Waste disposal bags, boxes, jars and sacks’ do not qualify</w:t>
            </w:r>
          </w:p>
        </w:tc>
        <w:tc>
          <w:tcPr>
            <w:tcW w:w="0" w:type="auto"/>
          </w:tcPr>
          <w:p w:rsidR="000C3714" w:rsidRPr="00165EC8" w:rsidRDefault="000C3714" w:rsidP="00165EC8">
            <w:pPr>
              <w:spacing w:after="0" w:line="240" w:lineRule="auto"/>
            </w:pPr>
            <w:r w:rsidRPr="00165EC8">
              <w:t>Unclear – to be discussed – see issue.</w:t>
            </w:r>
          </w:p>
        </w:tc>
        <w:tc>
          <w:tcPr>
            <w:tcW w:w="0" w:type="auto"/>
          </w:tcPr>
          <w:p w:rsidR="000C3714" w:rsidRPr="00165EC8" w:rsidRDefault="000C3714" w:rsidP="00165EC8">
            <w:pPr>
              <w:spacing w:after="0" w:line="240" w:lineRule="auto"/>
            </w:pPr>
            <w:r w:rsidRPr="00165EC8">
              <w:t>HMRC agree that these qualify as medical equipment.</w:t>
            </w:r>
          </w:p>
        </w:tc>
      </w:tr>
      <w:tr w:rsidR="000C3714" w:rsidRPr="00165EC8" w:rsidTr="00165EC8">
        <w:trPr>
          <w:cantSplit/>
        </w:trPr>
        <w:tc>
          <w:tcPr>
            <w:tcW w:w="0" w:type="auto"/>
          </w:tcPr>
          <w:p w:rsidR="000C3714" w:rsidRPr="00165EC8" w:rsidRDefault="000C3714" w:rsidP="00165EC8">
            <w:pPr>
              <w:spacing w:after="0" w:line="240" w:lineRule="auto"/>
            </w:pPr>
            <w:r w:rsidRPr="00165EC8">
              <w:t>19</w:t>
            </w:r>
          </w:p>
        </w:tc>
        <w:tc>
          <w:tcPr>
            <w:tcW w:w="0" w:type="auto"/>
          </w:tcPr>
          <w:p w:rsidR="000C3714" w:rsidRPr="00165EC8" w:rsidRDefault="000C3714" w:rsidP="00165EC8">
            <w:pPr>
              <w:spacing w:after="0" w:line="240" w:lineRule="auto"/>
            </w:pPr>
            <w:r w:rsidRPr="00165EC8">
              <w:t>Nitrile gloves which are not sterile but are used in the labs – these aren’t surgical gloves, but they’re used extensively in labs</w:t>
            </w:r>
          </w:p>
        </w:tc>
        <w:tc>
          <w:tcPr>
            <w:tcW w:w="0" w:type="auto"/>
          </w:tcPr>
          <w:p w:rsidR="000C3714" w:rsidRPr="00165EC8" w:rsidRDefault="000C3714" w:rsidP="00165EC8">
            <w:pPr>
              <w:spacing w:after="0" w:line="240" w:lineRule="auto"/>
            </w:pPr>
            <w:r w:rsidRPr="00165EC8">
              <w:t>More granular detail needs to be added to the table – either to include nitrile gloves in the zero-rating or to make it clear they do not qualify</w:t>
            </w:r>
          </w:p>
        </w:tc>
        <w:tc>
          <w:tcPr>
            <w:tcW w:w="0" w:type="auto"/>
          </w:tcPr>
          <w:p w:rsidR="000C3714" w:rsidRPr="00165EC8" w:rsidRDefault="000C3714" w:rsidP="00165EC8">
            <w:pPr>
              <w:spacing w:after="0" w:line="240" w:lineRule="auto"/>
            </w:pPr>
            <w:r w:rsidRPr="00165EC8">
              <w:t>‘Gloves, surgical’ qualify as medical equipment.</w:t>
            </w:r>
          </w:p>
          <w:p w:rsidR="000C3714" w:rsidRPr="00165EC8" w:rsidRDefault="000C3714" w:rsidP="00165EC8">
            <w:pPr>
              <w:spacing w:after="0" w:line="240" w:lineRule="auto"/>
            </w:pPr>
            <w:r w:rsidRPr="00165EC8">
              <w:t>‘Gloves, other’ do not qualify.</w:t>
            </w:r>
          </w:p>
        </w:tc>
        <w:tc>
          <w:tcPr>
            <w:tcW w:w="0" w:type="auto"/>
          </w:tcPr>
          <w:p w:rsidR="000C3714" w:rsidRPr="00165EC8" w:rsidRDefault="000C3714" w:rsidP="00165EC8">
            <w:pPr>
              <w:spacing w:after="0" w:line="240" w:lineRule="auto"/>
            </w:pPr>
            <w:r w:rsidRPr="00165EC8">
              <w:t>Either:</w:t>
            </w:r>
          </w:p>
          <w:p w:rsidR="000C3714" w:rsidRPr="00165EC8" w:rsidRDefault="000C3714" w:rsidP="00165EC8">
            <w:pPr>
              <w:spacing w:after="0" w:line="240" w:lineRule="auto"/>
            </w:pPr>
            <w:r w:rsidRPr="00165EC8">
              <w:t>‘Gloves, nitrile’ qualify as laboratory equipment.</w:t>
            </w:r>
          </w:p>
          <w:p w:rsidR="000C3714" w:rsidRPr="00165EC8" w:rsidRDefault="000C3714" w:rsidP="00165EC8">
            <w:pPr>
              <w:spacing w:after="0" w:line="240" w:lineRule="auto"/>
            </w:pPr>
            <w:r w:rsidRPr="00165EC8">
              <w:t>Or:</w:t>
            </w:r>
          </w:p>
          <w:p w:rsidR="000C3714" w:rsidRPr="00165EC8" w:rsidRDefault="000C3714" w:rsidP="00165EC8">
            <w:pPr>
              <w:spacing w:after="0" w:line="240" w:lineRule="auto"/>
            </w:pPr>
            <w:r w:rsidRPr="00165EC8">
              <w:t>‘Gloves, other (including nitrile)’ do not qualify.</w:t>
            </w:r>
          </w:p>
          <w:p w:rsidR="000C3714" w:rsidRPr="00165EC8" w:rsidRDefault="000C3714" w:rsidP="00165EC8">
            <w:pPr>
              <w:spacing w:after="0" w:line="240" w:lineRule="auto"/>
            </w:pPr>
          </w:p>
        </w:tc>
        <w:tc>
          <w:tcPr>
            <w:tcW w:w="0" w:type="auto"/>
          </w:tcPr>
          <w:p w:rsidR="000C3714" w:rsidRPr="00165EC8" w:rsidRDefault="000C3714" w:rsidP="00165EC8">
            <w:pPr>
              <w:spacing w:after="0" w:line="240" w:lineRule="auto"/>
            </w:pPr>
            <w:r w:rsidRPr="00165EC8">
              <w:t>Agreed that this was a complex area, but although low value it is very high volume and a common area of confusion. Need details of the types of gloves that are only used in laboratories to reach a decision on whether they should qualify as lab equipment, e.g. including the design intention. This needs to be considered further as HMRC is concerned that it could become and unlawful extension of the zero-rate.</w:t>
            </w:r>
          </w:p>
        </w:tc>
      </w:tr>
      <w:tr w:rsidR="000C3714" w:rsidRPr="00165EC8" w:rsidTr="00165EC8">
        <w:tc>
          <w:tcPr>
            <w:tcW w:w="0" w:type="auto"/>
          </w:tcPr>
          <w:p w:rsidR="000C3714" w:rsidRPr="00165EC8" w:rsidRDefault="000C3714" w:rsidP="00165EC8">
            <w:pPr>
              <w:spacing w:after="0" w:line="240" w:lineRule="auto"/>
            </w:pPr>
            <w:r w:rsidRPr="00165EC8">
              <w:t>20</w:t>
            </w:r>
          </w:p>
        </w:tc>
        <w:tc>
          <w:tcPr>
            <w:tcW w:w="0" w:type="auto"/>
          </w:tcPr>
          <w:p w:rsidR="000C3714" w:rsidRPr="00165EC8" w:rsidRDefault="000C3714" w:rsidP="00165EC8">
            <w:pPr>
              <w:spacing w:after="0" w:line="240" w:lineRule="auto"/>
            </w:pPr>
            <w:r w:rsidRPr="00165EC8">
              <w:t xml:space="preserve">Printers </w:t>
            </w:r>
          </w:p>
        </w:tc>
        <w:tc>
          <w:tcPr>
            <w:tcW w:w="0" w:type="auto"/>
          </w:tcPr>
          <w:p w:rsidR="000C3714" w:rsidRPr="00165EC8" w:rsidRDefault="000C3714" w:rsidP="00165EC8">
            <w:pPr>
              <w:spacing w:after="0" w:line="240" w:lineRule="auto"/>
            </w:pPr>
            <w:r w:rsidRPr="00165EC8">
              <w:t>Printers qualify, but does this include networked printers, and multi-function printers which also photocopy and scan – needs to be clear.</w:t>
            </w:r>
          </w:p>
        </w:tc>
        <w:tc>
          <w:tcPr>
            <w:tcW w:w="0" w:type="auto"/>
          </w:tcPr>
          <w:p w:rsidR="000C3714" w:rsidRPr="00165EC8" w:rsidRDefault="000C3714" w:rsidP="00165EC8">
            <w:pPr>
              <w:spacing w:after="0" w:line="240" w:lineRule="auto"/>
            </w:pPr>
            <w:r w:rsidRPr="00165EC8">
              <w:rPr>
                <w:rFonts w:cs="Arial"/>
                <w:color w:val="292929"/>
                <w:lang w:eastAsia="en-GB"/>
              </w:rPr>
              <w:t>‘Computer printers’ qualify as accessories to computer equipment.</w:t>
            </w:r>
          </w:p>
        </w:tc>
        <w:tc>
          <w:tcPr>
            <w:tcW w:w="0" w:type="auto"/>
          </w:tcPr>
          <w:p w:rsidR="000C3714" w:rsidRPr="00165EC8" w:rsidRDefault="000C3714" w:rsidP="00165EC8">
            <w:pPr>
              <w:spacing w:after="0" w:line="240" w:lineRule="auto"/>
            </w:pPr>
            <w:r w:rsidRPr="00165EC8">
              <w:rPr>
                <w:rFonts w:cs="Arial"/>
                <w:color w:val="292929"/>
                <w:lang w:eastAsia="en-GB"/>
              </w:rPr>
              <w:t>‘Computer printers, including networking and multi-function printers’ qualify as accessories to computer equipment.</w:t>
            </w:r>
          </w:p>
        </w:tc>
        <w:tc>
          <w:tcPr>
            <w:tcW w:w="0" w:type="auto"/>
          </w:tcPr>
          <w:p w:rsidR="000C3714" w:rsidRPr="00165EC8" w:rsidRDefault="000C3714" w:rsidP="00165EC8">
            <w:pPr>
              <w:spacing w:after="0" w:line="240" w:lineRule="auto"/>
              <w:rPr>
                <w:rFonts w:cs="Arial"/>
                <w:color w:val="292929"/>
                <w:lang w:eastAsia="en-GB"/>
              </w:rPr>
            </w:pPr>
            <w:r w:rsidRPr="00165EC8">
              <w:rPr>
                <w:rFonts w:cs="Arial"/>
                <w:color w:val="292929"/>
                <w:lang w:eastAsia="en-GB"/>
              </w:rPr>
              <w:t>In principle HMRC agree that these qualify as accessories to computer equipment as they mainly function as printers. Obviously the use that the printer will be put to also needs to qualify for relief.</w:t>
            </w:r>
          </w:p>
        </w:tc>
      </w:tr>
      <w:tr w:rsidR="000C3714" w:rsidRPr="00165EC8" w:rsidTr="00165EC8">
        <w:trPr>
          <w:cantSplit/>
        </w:trPr>
        <w:tc>
          <w:tcPr>
            <w:tcW w:w="0" w:type="auto"/>
          </w:tcPr>
          <w:p w:rsidR="000C3714" w:rsidRPr="00165EC8" w:rsidRDefault="000C3714" w:rsidP="00165EC8">
            <w:pPr>
              <w:spacing w:after="0" w:line="240" w:lineRule="auto"/>
            </w:pPr>
            <w:r w:rsidRPr="00165EC8">
              <w:t>21</w:t>
            </w:r>
          </w:p>
        </w:tc>
        <w:tc>
          <w:tcPr>
            <w:tcW w:w="0" w:type="auto"/>
          </w:tcPr>
          <w:p w:rsidR="000C3714" w:rsidRPr="00165EC8" w:rsidRDefault="000C3714" w:rsidP="00165EC8">
            <w:pPr>
              <w:spacing w:after="0" w:line="240" w:lineRule="auto"/>
            </w:pPr>
            <w:r w:rsidRPr="00165EC8">
              <w:t>General purpose power supplies for use in labs – things like UPSs (uninterrupted power supplies)</w:t>
            </w:r>
          </w:p>
        </w:tc>
        <w:tc>
          <w:tcPr>
            <w:tcW w:w="0" w:type="auto"/>
          </w:tcPr>
          <w:p w:rsidR="000C3714" w:rsidRPr="00165EC8" w:rsidRDefault="000C3714" w:rsidP="00165EC8">
            <w:pPr>
              <w:spacing w:after="0" w:line="240" w:lineRule="auto"/>
            </w:pPr>
            <w:r w:rsidRPr="00165EC8">
              <w:t>These are vital in some laboratories to ensure uninterrupted, continuous supply of power.  However, as they do not fall into any of the categories of equipment they don’t appear to qualify for relief.  Would be useful to state this for clarity and to avoid time wasted on disputes.</w:t>
            </w:r>
          </w:p>
        </w:tc>
        <w:tc>
          <w:tcPr>
            <w:tcW w:w="0" w:type="auto"/>
          </w:tcPr>
          <w:p w:rsidR="000C3714" w:rsidRPr="00165EC8" w:rsidRDefault="000C3714" w:rsidP="00165EC8">
            <w:pPr>
              <w:spacing w:after="0" w:line="240" w:lineRule="auto"/>
            </w:pPr>
            <w:r w:rsidRPr="00165EC8">
              <w:t>Silent</w:t>
            </w:r>
          </w:p>
        </w:tc>
        <w:tc>
          <w:tcPr>
            <w:tcW w:w="0" w:type="auto"/>
          </w:tcPr>
          <w:p w:rsidR="000C3714" w:rsidRPr="00165EC8" w:rsidRDefault="000C3714" w:rsidP="00165EC8">
            <w:pPr>
              <w:spacing w:after="0" w:line="240" w:lineRule="auto"/>
            </w:pPr>
            <w:r w:rsidRPr="00165EC8">
              <w:t>‘Uninterrupted power supplies (UPSs) and other power sources’ do not qualify</w:t>
            </w:r>
          </w:p>
        </w:tc>
        <w:tc>
          <w:tcPr>
            <w:tcW w:w="0" w:type="auto"/>
          </w:tcPr>
          <w:p w:rsidR="000C3714" w:rsidRPr="00165EC8" w:rsidRDefault="000C3714" w:rsidP="00165EC8">
            <w:pPr>
              <w:spacing w:after="0" w:line="240" w:lineRule="auto"/>
            </w:pPr>
            <w:r w:rsidRPr="00165EC8">
              <w:t>Do not qualify – HMRC to consider if this should be covered in the notice.</w:t>
            </w:r>
          </w:p>
        </w:tc>
      </w:tr>
      <w:tr w:rsidR="000C3714" w:rsidRPr="00165EC8" w:rsidTr="00165EC8">
        <w:trPr>
          <w:cantSplit/>
        </w:trPr>
        <w:tc>
          <w:tcPr>
            <w:tcW w:w="0" w:type="auto"/>
          </w:tcPr>
          <w:p w:rsidR="000C3714" w:rsidRPr="00165EC8" w:rsidRDefault="000C3714" w:rsidP="00165EC8">
            <w:pPr>
              <w:spacing w:after="0" w:line="240" w:lineRule="auto"/>
            </w:pPr>
            <w:r w:rsidRPr="00165EC8">
              <w:t>22</w:t>
            </w:r>
          </w:p>
        </w:tc>
        <w:tc>
          <w:tcPr>
            <w:tcW w:w="0" w:type="auto"/>
          </w:tcPr>
          <w:p w:rsidR="000C3714" w:rsidRPr="00165EC8" w:rsidRDefault="000C3714" w:rsidP="00165EC8">
            <w:pPr>
              <w:spacing w:after="0" w:line="240" w:lineRule="auto"/>
            </w:pPr>
            <w:r w:rsidRPr="00165EC8">
              <w:t>Alarm systems for specialist rooms (cold rooms and liquid nitrogen stores) e.g. cryogenic monitor alarms</w:t>
            </w:r>
          </w:p>
        </w:tc>
        <w:tc>
          <w:tcPr>
            <w:tcW w:w="0" w:type="auto"/>
          </w:tcPr>
          <w:p w:rsidR="000C3714" w:rsidRPr="00165EC8" w:rsidRDefault="000C3714" w:rsidP="00165EC8">
            <w:pPr>
              <w:spacing w:after="0" w:line="240" w:lineRule="auto"/>
            </w:pPr>
            <w:r w:rsidRPr="00165EC8">
              <w:t>Cryogenic preservation (storage below –130°C) of cell cultures and tissue samples is widely used and these low temperatures are achieved by using liquid nitrogen in cell dewars.  As liquid nitrogen turns into a gas (as it gets warmer), the vapour is replaced by more liquid and hence expelled from the dewar into the store room where it displaces atmospheric oxygen. This is critical since oxygen depletion can very rapidly cause loss of consciousness, without warning. Therefore, low oxygen alarm systems are required on the cryogenic tissue bank stores.</w:t>
            </w:r>
          </w:p>
        </w:tc>
        <w:tc>
          <w:tcPr>
            <w:tcW w:w="0" w:type="auto"/>
          </w:tcPr>
          <w:p w:rsidR="000C3714" w:rsidRPr="00165EC8" w:rsidRDefault="000C3714" w:rsidP="00165EC8">
            <w:pPr>
              <w:spacing w:after="0" w:line="240" w:lineRule="auto"/>
            </w:pPr>
            <w:r w:rsidRPr="00165EC8">
              <w:t>Silent</w:t>
            </w:r>
          </w:p>
        </w:tc>
        <w:tc>
          <w:tcPr>
            <w:tcW w:w="0" w:type="auto"/>
          </w:tcPr>
          <w:p w:rsidR="000C3714" w:rsidRPr="00165EC8" w:rsidRDefault="000C3714" w:rsidP="00165EC8">
            <w:pPr>
              <w:spacing w:after="0" w:line="240" w:lineRule="auto"/>
            </w:pPr>
            <w:r w:rsidRPr="00165EC8">
              <w:t>Alarm systems for specialist rooms (cold rooms and liquid nitrogen stores) e.g. cryogenic monitor alarms qualify as accessories to laboratory equipment or accessories to refrigeration equipment.</w:t>
            </w:r>
          </w:p>
        </w:tc>
        <w:tc>
          <w:tcPr>
            <w:tcW w:w="0" w:type="auto"/>
          </w:tcPr>
          <w:p w:rsidR="000C3714" w:rsidRPr="00165EC8" w:rsidRDefault="000C3714" w:rsidP="00165EC8">
            <w:pPr>
              <w:spacing w:after="0" w:line="240" w:lineRule="auto"/>
            </w:pPr>
            <w:r w:rsidRPr="00165EC8">
              <w:t>Will probably be a case by case basis depending on detail of what the alarm was designed for. HMRC require more information on how the alarm system is different to others.</w:t>
            </w:r>
          </w:p>
        </w:tc>
      </w:tr>
      <w:tr w:rsidR="000C3714" w:rsidRPr="00165EC8" w:rsidTr="00165EC8">
        <w:tc>
          <w:tcPr>
            <w:tcW w:w="0" w:type="auto"/>
          </w:tcPr>
          <w:p w:rsidR="000C3714" w:rsidRPr="00165EC8" w:rsidRDefault="000C3714" w:rsidP="00165EC8">
            <w:pPr>
              <w:spacing w:after="0" w:line="240" w:lineRule="auto"/>
            </w:pPr>
            <w:r w:rsidRPr="00165EC8">
              <w:t>23</w:t>
            </w:r>
          </w:p>
        </w:tc>
        <w:tc>
          <w:tcPr>
            <w:tcW w:w="0" w:type="auto"/>
          </w:tcPr>
          <w:p w:rsidR="000C3714" w:rsidRPr="00165EC8" w:rsidRDefault="000C3714" w:rsidP="00165EC8">
            <w:pPr>
              <w:spacing w:after="0" w:line="240" w:lineRule="auto"/>
            </w:pPr>
            <w:r w:rsidRPr="00165EC8">
              <w:rPr>
                <w:color w:val="000000"/>
              </w:rPr>
              <w:t xml:space="preserve">DVDs/DVD players/recorders </w:t>
            </w:r>
            <w:r w:rsidRPr="00165EC8">
              <w:rPr>
                <w:rStyle w:val="FootnoteReference"/>
                <w:color w:val="000000"/>
              </w:rPr>
              <w:footnoteReference w:id="1"/>
            </w:r>
          </w:p>
        </w:tc>
        <w:tc>
          <w:tcPr>
            <w:tcW w:w="0" w:type="auto"/>
          </w:tcPr>
          <w:p w:rsidR="000C3714" w:rsidRPr="00165EC8" w:rsidRDefault="000C3714" w:rsidP="00165EC8">
            <w:pPr>
              <w:spacing w:after="0" w:line="240" w:lineRule="auto"/>
            </w:pPr>
            <w:r w:rsidRPr="00165EC8">
              <w:t>Digital video discs</w:t>
            </w:r>
          </w:p>
        </w:tc>
        <w:tc>
          <w:tcPr>
            <w:tcW w:w="0" w:type="auto"/>
          </w:tcPr>
          <w:p w:rsidR="000C3714" w:rsidRPr="00165EC8" w:rsidRDefault="000C3714" w:rsidP="00165EC8">
            <w:pPr>
              <w:spacing w:after="0" w:line="240" w:lineRule="auto"/>
            </w:pPr>
            <w:r w:rsidRPr="00165EC8">
              <w:t>Silent</w:t>
            </w:r>
          </w:p>
        </w:tc>
        <w:tc>
          <w:tcPr>
            <w:tcW w:w="0" w:type="auto"/>
          </w:tcPr>
          <w:p w:rsidR="000C3714" w:rsidRPr="00165EC8" w:rsidRDefault="000C3714" w:rsidP="00165EC8">
            <w:pPr>
              <w:spacing w:after="0" w:line="240" w:lineRule="auto"/>
            </w:pPr>
            <w:r w:rsidRPr="00165EC8">
              <w:rPr>
                <w:color w:val="000000"/>
              </w:rPr>
              <w:t>DVDs/DVD players/recorders qualify as video equipment.</w:t>
            </w:r>
          </w:p>
        </w:tc>
        <w:tc>
          <w:tcPr>
            <w:tcW w:w="0" w:type="auto"/>
          </w:tcPr>
          <w:p w:rsidR="000C3714" w:rsidRPr="00165EC8" w:rsidRDefault="000C3714" w:rsidP="00165EC8">
            <w:pPr>
              <w:spacing w:after="0" w:line="240" w:lineRule="auto"/>
            </w:pPr>
            <w:r w:rsidRPr="00165EC8">
              <w:rPr>
                <w:color w:val="000000"/>
              </w:rPr>
              <w:t>HMRC will look into this.</w:t>
            </w:r>
          </w:p>
        </w:tc>
      </w:tr>
    </w:tbl>
    <w:p w:rsidR="000C3714" w:rsidRDefault="000C3714" w:rsidP="00E41B20"/>
    <w:p w:rsidR="000C3714" w:rsidRDefault="000C3714" w:rsidP="00E41B20">
      <w:pPr>
        <w:rPr>
          <w:rFonts w:ascii="Calibri Light" w:hAnsi="Calibri Light"/>
          <w:color w:val="2E74B5"/>
          <w:sz w:val="26"/>
          <w:szCs w:val="26"/>
        </w:rPr>
      </w:pPr>
      <w:bookmarkStart w:id="2" w:name="_4._Relief_for"/>
      <w:bookmarkEnd w:id="2"/>
      <w:r>
        <w:br w:type="page"/>
      </w:r>
    </w:p>
    <w:p w:rsidR="000C3714" w:rsidRDefault="000C3714" w:rsidP="00E41B20">
      <w:pPr>
        <w:pStyle w:val="Heading4"/>
      </w:pPr>
      <w:r>
        <w:t>B.</w:t>
      </w:r>
      <w:r>
        <w:tab/>
        <w:t>Relief for substances, drugs and chemicals</w:t>
      </w:r>
    </w:p>
    <w:p w:rsidR="000C3714" w:rsidRPr="00DD4430" w:rsidRDefault="000C3714" w:rsidP="00E41B20">
      <w:pPr>
        <w:pStyle w:val="NormalWeb"/>
        <w:shd w:val="clear" w:color="auto" w:fill="FFFFFF"/>
        <w:spacing w:before="0" w:beforeAutospacing="0" w:after="0" w:afterAutospacing="0"/>
        <w:rPr>
          <w:rFonts w:ascii="Calibri" w:hAnsi="Calibri"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22"/>
        <w:gridCol w:w="1991"/>
        <w:gridCol w:w="2843"/>
        <w:gridCol w:w="3768"/>
        <w:gridCol w:w="2890"/>
        <w:gridCol w:w="2324"/>
      </w:tblGrid>
      <w:tr w:rsidR="000C3714" w:rsidRPr="00165EC8" w:rsidTr="00165EC8">
        <w:trPr>
          <w:cantSplit/>
          <w:tblHeader/>
        </w:trPr>
        <w:tc>
          <w:tcPr>
            <w:tcW w:w="0" w:type="auto"/>
            <w:gridSpan w:val="5"/>
            <w:shd w:val="clear" w:color="auto" w:fill="CCECFF"/>
          </w:tcPr>
          <w:p w:rsidR="000C3714" w:rsidRPr="00165EC8" w:rsidRDefault="000C3714" w:rsidP="00165EC8">
            <w:pPr>
              <w:spacing w:after="0" w:line="240" w:lineRule="auto"/>
              <w:rPr>
                <w:b/>
              </w:rPr>
            </w:pPr>
            <w:r w:rsidRPr="00165EC8">
              <w:rPr>
                <w:b/>
              </w:rPr>
              <w:t>Information provided by A Darley (BUFDG) in advance of meeting</w:t>
            </w:r>
          </w:p>
        </w:tc>
        <w:tc>
          <w:tcPr>
            <w:tcW w:w="0" w:type="auto"/>
            <w:shd w:val="clear" w:color="auto" w:fill="FBE4D5"/>
          </w:tcPr>
          <w:p w:rsidR="000C3714" w:rsidRPr="00165EC8" w:rsidRDefault="000C3714" w:rsidP="00165EC8">
            <w:pPr>
              <w:spacing w:after="0" w:line="240" w:lineRule="auto"/>
              <w:rPr>
                <w:b/>
              </w:rPr>
            </w:pPr>
            <w:r w:rsidRPr="00165EC8">
              <w:rPr>
                <w:b/>
              </w:rPr>
              <w:t>Update 9 July 2015</w:t>
            </w:r>
          </w:p>
        </w:tc>
      </w:tr>
      <w:tr w:rsidR="000C3714" w:rsidRPr="00165EC8" w:rsidTr="00165EC8">
        <w:trPr>
          <w:cantSplit/>
          <w:tblHeader/>
        </w:trPr>
        <w:tc>
          <w:tcPr>
            <w:tcW w:w="0" w:type="auto"/>
            <w:shd w:val="clear" w:color="auto" w:fill="CCECFF"/>
          </w:tcPr>
          <w:p w:rsidR="000C3714" w:rsidRPr="00165EC8" w:rsidRDefault="000C3714" w:rsidP="00165EC8">
            <w:pPr>
              <w:spacing w:after="0" w:line="240" w:lineRule="auto"/>
              <w:rPr>
                <w:b/>
              </w:rPr>
            </w:pPr>
            <w:r w:rsidRPr="00165EC8">
              <w:rPr>
                <w:b/>
              </w:rPr>
              <w:t>Ref</w:t>
            </w:r>
          </w:p>
        </w:tc>
        <w:tc>
          <w:tcPr>
            <w:tcW w:w="0" w:type="auto"/>
            <w:shd w:val="clear" w:color="auto" w:fill="CCECFF"/>
          </w:tcPr>
          <w:p w:rsidR="000C3714" w:rsidRPr="00165EC8" w:rsidRDefault="000C3714" w:rsidP="00165EC8">
            <w:pPr>
              <w:spacing w:after="0" w:line="240" w:lineRule="auto"/>
              <w:rPr>
                <w:b/>
              </w:rPr>
            </w:pPr>
            <w:r w:rsidRPr="00165EC8">
              <w:rPr>
                <w:b/>
              </w:rPr>
              <w:t>Item</w:t>
            </w:r>
          </w:p>
        </w:tc>
        <w:tc>
          <w:tcPr>
            <w:tcW w:w="0" w:type="auto"/>
            <w:shd w:val="clear" w:color="auto" w:fill="CCECFF"/>
          </w:tcPr>
          <w:p w:rsidR="000C3714" w:rsidRPr="00165EC8" w:rsidRDefault="000C3714" w:rsidP="00165EC8">
            <w:pPr>
              <w:spacing w:after="0" w:line="240" w:lineRule="auto"/>
              <w:rPr>
                <w:b/>
              </w:rPr>
            </w:pPr>
            <w:r w:rsidRPr="00165EC8">
              <w:rPr>
                <w:b/>
              </w:rPr>
              <w:t>Issue</w:t>
            </w:r>
          </w:p>
        </w:tc>
        <w:tc>
          <w:tcPr>
            <w:tcW w:w="0" w:type="auto"/>
            <w:shd w:val="clear" w:color="auto" w:fill="CCECFF"/>
          </w:tcPr>
          <w:p w:rsidR="000C3714" w:rsidRPr="00165EC8" w:rsidRDefault="000C3714" w:rsidP="00165EC8">
            <w:pPr>
              <w:spacing w:after="0" w:line="240" w:lineRule="auto"/>
              <w:rPr>
                <w:b/>
              </w:rPr>
            </w:pPr>
            <w:r w:rsidRPr="00165EC8">
              <w:rPr>
                <w:b/>
              </w:rPr>
              <w:t>Current Notice 701/6 states:</w:t>
            </w:r>
          </w:p>
        </w:tc>
        <w:tc>
          <w:tcPr>
            <w:tcW w:w="0" w:type="auto"/>
            <w:shd w:val="clear" w:color="auto" w:fill="CCECFF"/>
          </w:tcPr>
          <w:p w:rsidR="000C3714" w:rsidRPr="00165EC8" w:rsidRDefault="000C3714" w:rsidP="00165EC8">
            <w:pPr>
              <w:spacing w:after="0" w:line="240" w:lineRule="auto"/>
              <w:rPr>
                <w:b/>
              </w:rPr>
            </w:pPr>
            <w:r w:rsidRPr="00165EC8">
              <w:rPr>
                <w:b/>
              </w:rPr>
              <w:t>Suggested inclusion in Notice 701/6, new section/table re substances:</w:t>
            </w:r>
          </w:p>
        </w:tc>
        <w:tc>
          <w:tcPr>
            <w:tcW w:w="0" w:type="auto"/>
            <w:shd w:val="clear" w:color="auto" w:fill="FBE4D5"/>
          </w:tcPr>
          <w:p w:rsidR="000C3714" w:rsidRPr="00165EC8" w:rsidRDefault="000C3714" w:rsidP="00165EC8">
            <w:pPr>
              <w:spacing w:after="0" w:line="240" w:lineRule="auto"/>
              <w:rPr>
                <w:b/>
              </w:rPr>
            </w:pPr>
            <w:r w:rsidRPr="00165EC8">
              <w:rPr>
                <w:b/>
              </w:rPr>
              <w:t>Discussion outcome</w:t>
            </w:r>
          </w:p>
        </w:tc>
      </w:tr>
      <w:tr w:rsidR="000C3714" w:rsidRPr="00165EC8" w:rsidTr="00165EC8">
        <w:tc>
          <w:tcPr>
            <w:tcW w:w="0" w:type="auto"/>
          </w:tcPr>
          <w:p w:rsidR="000C3714" w:rsidRPr="00165EC8" w:rsidRDefault="000C3714" w:rsidP="00165EC8">
            <w:pPr>
              <w:spacing w:after="0" w:line="240" w:lineRule="auto"/>
            </w:pPr>
            <w:r w:rsidRPr="00165EC8">
              <w:t>1</w:t>
            </w:r>
          </w:p>
        </w:tc>
        <w:tc>
          <w:tcPr>
            <w:tcW w:w="0" w:type="auto"/>
          </w:tcPr>
          <w:p w:rsidR="000C3714" w:rsidRPr="00165EC8" w:rsidRDefault="000C3714" w:rsidP="00165EC8">
            <w:pPr>
              <w:spacing w:after="0" w:line="240" w:lineRule="auto"/>
            </w:pPr>
            <w:r w:rsidRPr="00165EC8">
              <w:t>Gases</w:t>
            </w:r>
          </w:p>
        </w:tc>
        <w:tc>
          <w:tcPr>
            <w:tcW w:w="0" w:type="auto"/>
          </w:tcPr>
          <w:p w:rsidR="000C3714" w:rsidRPr="00165EC8" w:rsidRDefault="000C3714" w:rsidP="00165EC8">
            <w:pPr>
              <w:spacing w:after="0" w:line="240" w:lineRule="auto"/>
            </w:pPr>
            <w:r w:rsidRPr="00165EC8">
              <w:t>When do these qualify?</w:t>
            </w:r>
          </w:p>
        </w:tc>
        <w:tc>
          <w:tcPr>
            <w:tcW w:w="0" w:type="auto"/>
          </w:tcPr>
          <w:p w:rsidR="000C3714" w:rsidRPr="00165EC8" w:rsidRDefault="000C3714" w:rsidP="00165EC8">
            <w:pPr>
              <w:spacing w:after="0" w:line="240" w:lineRule="auto"/>
            </w:pPr>
          </w:p>
        </w:tc>
        <w:tc>
          <w:tcPr>
            <w:tcW w:w="0" w:type="auto"/>
          </w:tcPr>
          <w:p w:rsidR="000C3714" w:rsidRPr="00165EC8" w:rsidRDefault="000C3714" w:rsidP="00165EC8">
            <w:pPr>
              <w:spacing w:after="0" w:line="240" w:lineRule="auto"/>
            </w:pPr>
          </w:p>
        </w:tc>
        <w:tc>
          <w:tcPr>
            <w:tcW w:w="0" w:type="auto"/>
          </w:tcPr>
          <w:p w:rsidR="000C3714" w:rsidRPr="00165EC8" w:rsidRDefault="000C3714" w:rsidP="00165EC8">
            <w:pPr>
              <w:spacing w:after="0" w:line="240" w:lineRule="auto"/>
            </w:pPr>
            <w:r w:rsidRPr="00165EC8">
              <w:t>See meeting minutes 3.4.</w:t>
            </w:r>
          </w:p>
        </w:tc>
      </w:tr>
      <w:tr w:rsidR="000C3714" w:rsidRPr="00165EC8" w:rsidTr="00165EC8">
        <w:trPr>
          <w:cantSplit/>
        </w:trPr>
        <w:tc>
          <w:tcPr>
            <w:tcW w:w="0" w:type="auto"/>
          </w:tcPr>
          <w:p w:rsidR="000C3714" w:rsidRPr="00165EC8" w:rsidRDefault="000C3714" w:rsidP="00165EC8">
            <w:pPr>
              <w:spacing w:after="0" w:line="240" w:lineRule="auto"/>
            </w:pPr>
            <w:r w:rsidRPr="00165EC8">
              <w:t>2</w:t>
            </w:r>
          </w:p>
        </w:tc>
        <w:tc>
          <w:tcPr>
            <w:tcW w:w="0" w:type="auto"/>
          </w:tcPr>
          <w:p w:rsidR="000C3714" w:rsidRPr="00165EC8" w:rsidRDefault="000C3714" w:rsidP="00165EC8">
            <w:pPr>
              <w:spacing w:after="0" w:line="240" w:lineRule="auto"/>
            </w:pPr>
            <w:r w:rsidRPr="00165EC8">
              <w:t>Reagents &amp; other consumables</w:t>
            </w:r>
          </w:p>
        </w:tc>
        <w:tc>
          <w:tcPr>
            <w:tcW w:w="0" w:type="auto"/>
          </w:tcPr>
          <w:p w:rsidR="000C3714" w:rsidRPr="00165EC8" w:rsidRDefault="000C3714" w:rsidP="00165EC8">
            <w:pPr>
              <w:spacing w:after="0" w:line="240" w:lineRule="auto"/>
            </w:pPr>
            <w:r w:rsidRPr="00165EC8">
              <w:t>Needs clarity on when these qualify under the substances zero-rating</w:t>
            </w:r>
          </w:p>
        </w:tc>
        <w:tc>
          <w:tcPr>
            <w:tcW w:w="0" w:type="auto"/>
          </w:tcPr>
          <w:p w:rsidR="000C3714" w:rsidRPr="00165EC8" w:rsidRDefault="000C3714" w:rsidP="00165EC8">
            <w:pPr>
              <w:shd w:val="clear" w:color="auto" w:fill="FFFFFF"/>
              <w:spacing w:after="0" w:line="240" w:lineRule="auto"/>
            </w:pPr>
            <w:r w:rsidRPr="00165EC8">
              <w:t>Section 4.2 states that the following do not qualify under the relief for equipment:</w:t>
            </w:r>
          </w:p>
          <w:p w:rsidR="000C3714" w:rsidRPr="00165EC8" w:rsidRDefault="000C3714" w:rsidP="00165EC8">
            <w:pPr>
              <w:shd w:val="clear" w:color="auto" w:fill="FFFFFF"/>
              <w:spacing w:after="0" w:line="240" w:lineRule="auto"/>
            </w:pPr>
            <w:r w:rsidRPr="00165EC8">
              <w:t>“</w:t>
            </w:r>
            <w:r w:rsidRPr="00165EC8">
              <w:rPr>
                <w:rFonts w:cs="Arial"/>
                <w:lang w:eastAsia="en-GB"/>
              </w:rPr>
              <w:t>consumables such as chemical reagents, fuel, ink, medicines, oil, paper, and cleaning and sterilising fluids. However, medicines and chemical reagents may qualify for zero-rating under a separate relief when supplied to certain charities. Further information can be found in Notice 701/1 Charities”.</w:t>
            </w:r>
          </w:p>
        </w:tc>
        <w:tc>
          <w:tcPr>
            <w:tcW w:w="0" w:type="auto"/>
          </w:tcPr>
          <w:p w:rsidR="000C3714" w:rsidRPr="00165EC8" w:rsidRDefault="000C3714" w:rsidP="00165EC8">
            <w:pPr>
              <w:spacing w:after="0" w:line="240" w:lineRule="auto"/>
            </w:pPr>
            <w:r w:rsidRPr="00165EC8">
              <w:t>Information should be included in a separate table in a new section of the notice relating to the separate VAT relief for substances (with text stating that all other conditions must also apply) e.g:</w:t>
            </w:r>
          </w:p>
          <w:p w:rsidR="000C3714" w:rsidRPr="00165EC8" w:rsidRDefault="000C3714" w:rsidP="00165EC8">
            <w:pPr>
              <w:spacing w:after="0" w:line="240" w:lineRule="auto"/>
            </w:pPr>
            <w:r w:rsidRPr="00165EC8">
              <w:t>‘chemical reagents’ qualify as substances</w:t>
            </w:r>
          </w:p>
          <w:p w:rsidR="000C3714" w:rsidRPr="00165EC8" w:rsidRDefault="000C3714" w:rsidP="00165EC8">
            <w:pPr>
              <w:spacing w:after="0" w:line="240" w:lineRule="auto"/>
            </w:pPr>
            <w:r w:rsidRPr="00165EC8">
              <w:t>‘medicines’ qualify as substances.</w:t>
            </w:r>
          </w:p>
          <w:p w:rsidR="000C3714" w:rsidRPr="00165EC8" w:rsidRDefault="000C3714" w:rsidP="00165EC8">
            <w:pPr>
              <w:spacing w:after="0" w:line="240" w:lineRule="auto"/>
            </w:pPr>
          </w:p>
        </w:tc>
        <w:tc>
          <w:tcPr>
            <w:tcW w:w="0" w:type="auto"/>
          </w:tcPr>
          <w:p w:rsidR="000C3714" w:rsidRPr="00165EC8" w:rsidRDefault="000C3714" w:rsidP="00165EC8">
            <w:pPr>
              <w:spacing w:after="0" w:line="240" w:lineRule="auto"/>
            </w:pPr>
            <w:r w:rsidRPr="00165EC8">
              <w:t>See meeting minutes 3.4.</w:t>
            </w:r>
          </w:p>
        </w:tc>
      </w:tr>
      <w:tr w:rsidR="000C3714" w:rsidRPr="00165EC8" w:rsidTr="00165EC8">
        <w:tc>
          <w:tcPr>
            <w:tcW w:w="0" w:type="auto"/>
          </w:tcPr>
          <w:p w:rsidR="000C3714" w:rsidRPr="00165EC8" w:rsidRDefault="000C3714" w:rsidP="00165EC8">
            <w:pPr>
              <w:spacing w:after="0" w:line="240" w:lineRule="auto"/>
            </w:pPr>
            <w:r w:rsidRPr="00165EC8">
              <w:t>3</w:t>
            </w:r>
          </w:p>
        </w:tc>
        <w:tc>
          <w:tcPr>
            <w:tcW w:w="0" w:type="auto"/>
          </w:tcPr>
          <w:p w:rsidR="000C3714" w:rsidRPr="00165EC8" w:rsidRDefault="000C3714" w:rsidP="00165EC8">
            <w:pPr>
              <w:spacing w:after="0" w:line="240" w:lineRule="auto"/>
            </w:pPr>
            <w:r w:rsidRPr="00165EC8">
              <w:t>Whole but genetically engineered animals e.g. mice to use for the antibodies, tissue etc.</w:t>
            </w:r>
          </w:p>
          <w:p w:rsidR="000C3714" w:rsidRPr="00165EC8" w:rsidRDefault="000C3714" w:rsidP="00165EC8">
            <w:pPr>
              <w:spacing w:after="0" w:line="240" w:lineRule="auto"/>
            </w:pPr>
            <w:r w:rsidRPr="00165EC8">
              <w:t>Insects purchased for their DNA such as fruit flies</w:t>
            </w:r>
          </w:p>
        </w:tc>
        <w:tc>
          <w:tcPr>
            <w:tcW w:w="0" w:type="auto"/>
          </w:tcPr>
          <w:p w:rsidR="000C3714" w:rsidRPr="00165EC8" w:rsidRDefault="000C3714" w:rsidP="00165EC8">
            <w:pPr>
              <w:spacing w:after="0" w:line="240" w:lineRule="auto"/>
            </w:pPr>
            <w:r w:rsidRPr="00165EC8">
              <w:t>Despite animals not qualifying as equipment, could these types of animal purchase qualify under the substances relief because they are purchased in order to use the substances rather than the whole animal?</w:t>
            </w:r>
          </w:p>
        </w:tc>
        <w:tc>
          <w:tcPr>
            <w:tcW w:w="0" w:type="auto"/>
          </w:tcPr>
          <w:p w:rsidR="000C3714" w:rsidRPr="00165EC8" w:rsidRDefault="000C3714" w:rsidP="00165EC8">
            <w:pPr>
              <w:spacing w:after="0" w:line="240" w:lineRule="auto"/>
            </w:pPr>
            <w:r w:rsidRPr="00165EC8">
              <w:t>Table 4.11 of Notice 701/6 states that ‘Animals’ do not qualify under the relief for equipment.</w:t>
            </w:r>
          </w:p>
        </w:tc>
        <w:tc>
          <w:tcPr>
            <w:tcW w:w="0" w:type="auto"/>
          </w:tcPr>
          <w:p w:rsidR="000C3714" w:rsidRPr="00165EC8" w:rsidRDefault="000C3714" w:rsidP="00165EC8">
            <w:pPr>
              <w:spacing w:after="0" w:line="240" w:lineRule="auto"/>
            </w:pPr>
            <w:r w:rsidRPr="00165EC8">
              <w:t>Unclear – to be discussed – see issue.</w:t>
            </w:r>
          </w:p>
        </w:tc>
        <w:tc>
          <w:tcPr>
            <w:tcW w:w="0" w:type="auto"/>
          </w:tcPr>
          <w:p w:rsidR="000C3714" w:rsidRPr="00165EC8" w:rsidRDefault="000C3714" w:rsidP="00165EC8">
            <w:pPr>
              <w:spacing w:after="0" w:line="240" w:lineRule="auto"/>
            </w:pPr>
            <w:r w:rsidRPr="00165EC8">
              <w:t>As it stands this does not qualify and is an animal. HMRC will check if there is any other guidance on genetically engineered animals – MS to check.</w:t>
            </w:r>
          </w:p>
        </w:tc>
      </w:tr>
    </w:tbl>
    <w:p w:rsidR="000C3714" w:rsidRDefault="000C3714" w:rsidP="004E0481"/>
    <w:sectPr w:rsidR="000C3714" w:rsidSect="004E0481">
      <w:pgSz w:w="16838" w:h="11906" w:orient="landscape"/>
      <w:pgMar w:top="1440" w:right="1440"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3714" w:rsidRDefault="000C3714" w:rsidP="00E41B20">
      <w:pPr>
        <w:spacing w:after="0" w:line="240" w:lineRule="auto"/>
      </w:pPr>
      <w:r>
        <w:separator/>
      </w:r>
    </w:p>
  </w:endnote>
  <w:endnote w:type="continuationSeparator" w:id="0">
    <w:p w:rsidR="000C3714" w:rsidRDefault="000C3714" w:rsidP="00E41B20">
      <w:pPr>
        <w:spacing w:after="0" w:line="240" w:lineRule="auto"/>
      </w:pPr>
      <w:r>
        <w:continuationSeparator/>
      </w:r>
    </w:p>
  </w:endnote>
  <w:endnote w:id="1">
    <w:p w:rsidR="000C3714" w:rsidRDefault="000C3714">
      <w:pPr>
        <w:pStyle w:val="EndnoteText"/>
      </w:pPr>
      <w:r>
        <w:rPr>
          <w:rStyle w:val="EndnoteReference"/>
        </w:rPr>
        <w:endnoteRef/>
      </w:r>
      <w:r>
        <w:t xml:space="preserve"> Please note all references to HMRC updating the notice are for </w:t>
      </w:r>
      <w:r>
        <w:rPr>
          <w:color w:val="000000"/>
          <w:szCs w:val="22"/>
        </w:rPr>
        <w:t>when resource permits redrafting the notice.</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3714" w:rsidRDefault="000C3714" w:rsidP="00E41B20">
      <w:pPr>
        <w:spacing w:after="0" w:line="240" w:lineRule="auto"/>
      </w:pPr>
      <w:r>
        <w:separator/>
      </w:r>
    </w:p>
  </w:footnote>
  <w:footnote w:type="continuationSeparator" w:id="0">
    <w:p w:rsidR="000C3714" w:rsidRDefault="000C3714" w:rsidP="00E41B20">
      <w:pPr>
        <w:spacing w:after="0" w:line="240" w:lineRule="auto"/>
      </w:pPr>
      <w:r>
        <w:continuationSeparator/>
      </w:r>
    </w:p>
  </w:footnote>
  <w:footnote w:id="1">
    <w:p w:rsidR="000C3714" w:rsidRDefault="000C3714" w:rsidP="00E41B20">
      <w:pPr>
        <w:pStyle w:val="FootnoteText"/>
      </w:pPr>
      <w:r>
        <w:rPr>
          <w:rStyle w:val="FootnoteReference"/>
        </w:rPr>
        <w:footnoteRef/>
      </w:r>
      <w:r>
        <w:t xml:space="preserve"> Note – this item added after discussion at the meeting, not on pre-meeting document.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3D2F72"/>
    <w:multiLevelType w:val="hybridMultilevel"/>
    <w:tmpl w:val="E200AC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52E25B3"/>
    <w:multiLevelType w:val="multilevel"/>
    <w:tmpl w:val="FD381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A567D8A"/>
    <w:multiLevelType w:val="hybridMultilevel"/>
    <w:tmpl w:val="F58A40EC"/>
    <w:lvl w:ilvl="0" w:tplc="08090019">
      <w:start w:val="1"/>
      <w:numFmt w:val="lowerLetter"/>
      <w:lvlText w:val="%1."/>
      <w:lvlJc w:val="left"/>
      <w:pPr>
        <w:ind w:left="360" w:hanging="360"/>
      </w:pPr>
      <w:rPr>
        <w:rFonts w:cs="Times New Roman"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4EF4262C"/>
    <w:multiLevelType w:val="hybridMultilevel"/>
    <w:tmpl w:val="40D69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6DCD1791"/>
    <w:multiLevelType w:val="hybridMultilevel"/>
    <w:tmpl w:val="F1526D72"/>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F194B"/>
    <w:rsid w:val="00004680"/>
    <w:rsid w:val="00005B59"/>
    <w:rsid w:val="0000635B"/>
    <w:rsid w:val="000130E9"/>
    <w:rsid w:val="00014A92"/>
    <w:rsid w:val="00043A38"/>
    <w:rsid w:val="00050FA1"/>
    <w:rsid w:val="00051FCB"/>
    <w:rsid w:val="00052534"/>
    <w:rsid w:val="0006216E"/>
    <w:rsid w:val="00065932"/>
    <w:rsid w:val="00066695"/>
    <w:rsid w:val="00071918"/>
    <w:rsid w:val="00096A49"/>
    <w:rsid w:val="000A15F6"/>
    <w:rsid w:val="000A18C1"/>
    <w:rsid w:val="000A3438"/>
    <w:rsid w:val="000C09D5"/>
    <w:rsid w:val="000C3714"/>
    <w:rsid w:val="000C4905"/>
    <w:rsid w:val="000D181D"/>
    <w:rsid w:val="000D6421"/>
    <w:rsid w:val="000E1B3C"/>
    <w:rsid w:val="000E1D3A"/>
    <w:rsid w:val="000E2384"/>
    <w:rsid w:val="000E5050"/>
    <w:rsid w:val="000F38CC"/>
    <w:rsid w:val="000F3B1E"/>
    <w:rsid w:val="000F433A"/>
    <w:rsid w:val="00100891"/>
    <w:rsid w:val="00104DBE"/>
    <w:rsid w:val="001054A2"/>
    <w:rsid w:val="00107C8B"/>
    <w:rsid w:val="001142D2"/>
    <w:rsid w:val="0011566B"/>
    <w:rsid w:val="001205F4"/>
    <w:rsid w:val="001272F9"/>
    <w:rsid w:val="00135C20"/>
    <w:rsid w:val="00143494"/>
    <w:rsid w:val="00143755"/>
    <w:rsid w:val="00144F18"/>
    <w:rsid w:val="0015102E"/>
    <w:rsid w:val="00152B8B"/>
    <w:rsid w:val="001532CB"/>
    <w:rsid w:val="00160CD1"/>
    <w:rsid w:val="001622AC"/>
    <w:rsid w:val="00162C2B"/>
    <w:rsid w:val="00165EC8"/>
    <w:rsid w:val="0016691C"/>
    <w:rsid w:val="00167B4F"/>
    <w:rsid w:val="00171816"/>
    <w:rsid w:val="00171FA9"/>
    <w:rsid w:val="00176092"/>
    <w:rsid w:val="00176A20"/>
    <w:rsid w:val="00181FF8"/>
    <w:rsid w:val="00183E77"/>
    <w:rsid w:val="00195D52"/>
    <w:rsid w:val="001A0BEA"/>
    <w:rsid w:val="001A30B0"/>
    <w:rsid w:val="001B0E65"/>
    <w:rsid w:val="001B29EC"/>
    <w:rsid w:val="001B6496"/>
    <w:rsid w:val="001C36D4"/>
    <w:rsid w:val="001C6008"/>
    <w:rsid w:val="001D3D71"/>
    <w:rsid w:val="001D6665"/>
    <w:rsid w:val="001D6A93"/>
    <w:rsid w:val="001E0591"/>
    <w:rsid w:val="001E1C70"/>
    <w:rsid w:val="001E57B6"/>
    <w:rsid w:val="001E67B2"/>
    <w:rsid w:val="001F13BA"/>
    <w:rsid w:val="001F1D40"/>
    <w:rsid w:val="001F2D44"/>
    <w:rsid w:val="001F77DF"/>
    <w:rsid w:val="0020132D"/>
    <w:rsid w:val="00203635"/>
    <w:rsid w:val="00205C24"/>
    <w:rsid w:val="00211107"/>
    <w:rsid w:val="00212DC6"/>
    <w:rsid w:val="0022178C"/>
    <w:rsid w:val="00222E37"/>
    <w:rsid w:val="002327EB"/>
    <w:rsid w:val="00241B3C"/>
    <w:rsid w:val="00255A1E"/>
    <w:rsid w:val="002561AB"/>
    <w:rsid w:val="0027106E"/>
    <w:rsid w:val="00272301"/>
    <w:rsid w:val="002723BF"/>
    <w:rsid w:val="00276162"/>
    <w:rsid w:val="002763C5"/>
    <w:rsid w:val="0028164B"/>
    <w:rsid w:val="00287CB7"/>
    <w:rsid w:val="00291737"/>
    <w:rsid w:val="002929D8"/>
    <w:rsid w:val="002946E8"/>
    <w:rsid w:val="002A0A84"/>
    <w:rsid w:val="002A44A4"/>
    <w:rsid w:val="002A5CB9"/>
    <w:rsid w:val="002A7BCD"/>
    <w:rsid w:val="002B6E9D"/>
    <w:rsid w:val="002C0F6F"/>
    <w:rsid w:val="002D0017"/>
    <w:rsid w:val="002D0CAC"/>
    <w:rsid w:val="002D7C6A"/>
    <w:rsid w:val="002E396A"/>
    <w:rsid w:val="002E51A4"/>
    <w:rsid w:val="002E5381"/>
    <w:rsid w:val="00307671"/>
    <w:rsid w:val="003142E4"/>
    <w:rsid w:val="00316A97"/>
    <w:rsid w:val="00325DEB"/>
    <w:rsid w:val="0032633A"/>
    <w:rsid w:val="00326A39"/>
    <w:rsid w:val="0032735E"/>
    <w:rsid w:val="003400A0"/>
    <w:rsid w:val="00340769"/>
    <w:rsid w:val="00341592"/>
    <w:rsid w:val="00357C45"/>
    <w:rsid w:val="00360AB5"/>
    <w:rsid w:val="00365886"/>
    <w:rsid w:val="00365A9E"/>
    <w:rsid w:val="003749FB"/>
    <w:rsid w:val="003802DA"/>
    <w:rsid w:val="00381610"/>
    <w:rsid w:val="00384651"/>
    <w:rsid w:val="00384B29"/>
    <w:rsid w:val="00384B7C"/>
    <w:rsid w:val="00385D02"/>
    <w:rsid w:val="0039155E"/>
    <w:rsid w:val="003B0FB7"/>
    <w:rsid w:val="003B3374"/>
    <w:rsid w:val="003B43FE"/>
    <w:rsid w:val="003B66E2"/>
    <w:rsid w:val="003C252D"/>
    <w:rsid w:val="003C4155"/>
    <w:rsid w:val="003C5E9B"/>
    <w:rsid w:val="003C6D15"/>
    <w:rsid w:val="003D1103"/>
    <w:rsid w:val="003D2C6F"/>
    <w:rsid w:val="003E6D10"/>
    <w:rsid w:val="003F2E6E"/>
    <w:rsid w:val="003F5D62"/>
    <w:rsid w:val="003F6133"/>
    <w:rsid w:val="003F616D"/>
    <w:rsid w:val="003F6EFA"/>
    <w:rsid w:val="00402D81"/>
    <w:rsid w:val="004113D9"/>
    <w:rsid w:val="004135B6"/>
    <w:rsid w:val="00415D35"/>
    <w:rsid w:val="00425A79"/>
    <w:rsid w:val="00427249"/>
    <w:rsid w:val="00432AC2"/>
    <w:rsid w:val="00441CA0"/>
    <w:rsid w:val="00445AA7"/>
    <w:rsid w:val="00453652"/>
    <w:rsid w:val="00453807"/>
    <w:rsid w:val="00453EA1"/>
    <w:rsid w:val="0045673D"/>
    <w:rsid w:val="00461E8F"/>
    <w:rsid w:val="00464E40"/>
    <w:rsid w:val="0047178D"/>
    <w:rsid w:val="00471945"/>
    <w:rsid w:val="00474956"/>
    <w:rsid w:val="004761F8"/>
    <w:rsid w:val="00484225"/>
    <w:rsid w:val="00484C86"/>
    <w:rsid w:val="00486922"/>
    <w:rsid w:val="00486A93"/>
    <w:rsid w:val="00495C04"/>
    <w:rsid w:val="004966EA"/>
    <w:rsid w:val="004A0F2C"/>
    <w:rsid w:val="004A184B"/>
    <w:rsid w:val="004B5687"/>
    <w:rsid w:val="004B57BD"/>
    <w:rsid w:val="004C25E3"/>
    <w:rsid w:val="004C475F"/>
    <w:rsid w:val="004C4E7D"/>
    <w:rsid w:val="004C6D53"/>
    <w:rsid w:val="004D2353"/>
    <w:rsid w:val="004D3722"/>
    <w:rsid w:val="004D4890"/>
    <w:rsid w:val="004D729A"/>
    <w:rsid w:val="004E0481"/>
    <w:rsid w:val="004E4698"/>
    <w:rsid w:val="004E471C"/>
    <w:rsid w:val="004E4A29"/>
    <w:rsid w:val="004F20EC"/>
    <w:rsid w:val="004F2D5C"/>
    <w:rsid w:val="004F4032"/>
    <w:rsid w:val="005032F2"/>
    <w:rsid w:val="00503EC2"/>
    <w:rsid w:val="005069D4"/>
    <w:rsid w:val="005172AA"/>
    <w:rsid w:val="0051799C"/>
    <w:rsid w:val="005206F9"/>
    <w:rsid w:val="0052431C"/>
    <w:rsid w:val="005245B7"/>
    <w:rsid w:val="00527390"/>
    <w:rsid w:val="00533700"/>
    <w:rsid w:val="00534E92"/>
    <w:rsid w:val="00537710"/>
    <w:rsid w:val="00545B65"/>
    <w:rsid w:val="005506C1"/>
    <w:rsid w:val="00555A27"/>
    <w:rsid w:val="005667E1"/>
    <w:rsid w:val="005705D8"/>
    <w:rsid w:val="0057314F"/>
    <w:rsid w:val="0057432D"/>
    <w:rsid w:val="00574639"/>
    <w:rsid w:val="005813F0"/>
    <w:rsid w:val="0058186B"/>
    <w:rsid w:val="005838C5"/>
    <w:rsid w:val="005853B9"/>
    <w:rsid w:val="00593F3A"/>
    <w:rsid w:val="00594C4D"/>
    <w:rsid w:val="00594CBE"/>
    <w:rsid w:val="005956AF"/>
    <w:rsid w:val="005A0736"/>
    <w:rsid w:val="005A21EF"/>
    <w:rsid w:val="005A3F77"/>
    <w:rsid w:val="005A58B8"/>
    <w:rsid w:val="005A6489"/>
    <w:rsid w:val="005B2D37"/>
    <w:rsid w:val="005B7FC1"/>
    <w:rsid w:val="005C1621"/>
    <w:rsid w:val="005C49A7"/>
    <w:rsid w:val="005C5D58"/>
    <w:rsid w:val="005D32CC"/>
    <w:rsid w:val="005D73EA"/>
    <w:rsid w:val="005E0D87"/>
    <w:rsid w:val="005E4B38"/>
    <w:rsid w:val="005E5919"/>
    <w:rsid w:val="005F0CB5"/>
    <w:rsid w:val="005F3756"/>
    <w:rsid w:val="005F4AEA"/>
    <w:rsid w:val="005F6475"/>
    <w:rsid w:val="005F68BF"/>
    <w:rsid w:val="005F6903"/>
    <w:rsid w:val="006020F3"/>
    <w:rsid w:val="00607D04"/>
    <w:rsid w:val="00611DFE"/>
    <w:rsid w:val="00620D68"/>
    <w:rsid w:val="006244B4"/>
    <w:rsid w:val="00625CA8"/>
    <w:rsid w:val="0063735D"/>
    <w:rsid w:val="006408AD"/>
    <w:rsid w:val="00643403"/>
    <w:rsid w:val="006442A5"/>
    <w:rsid w:val="0065202A"/>
    <w:rsid w:val="0065527F"/>
    <w:rsid w:val="006566AB"/>
    <w:rsid w:val="00656DDF"/>
    <w:rsid w:val="00660219"/>
    <w:rsid w:val="0066255F"/>
    <w:rsid w:val="00664F38"/>
    <w:rsid w:val="00665E4E"/>
    <w:rsid w:val="00671939"/>
    <w:rsid w:val="0067228B"/>
    <w:rsid w:val="00696C6D"/>
    <w:rsid w:val="006A18B9"/>
    <w:rsid w:val="006A1FD3"/>
    <w:rsid w:val="006C3F23"/>
    <w:rsid w:val="006C5A23"/>
    <w:rsid w:val="006D03F7"/>
    <w:rsid w:val="006D4932"/>
    <w:rsid w:val="006D69E6"/>
    <w:rsid w:val="006E0D26"/>
    <w:rsid w:val="006E161A"/>
    <w:rsid w:val="006E18AA"/>
    <w:rsid w:val="006E3BFF"/>
    <w:rsid w:val="006F1E73"/>
    <w:rsid w:val="00700AF0"/>
    <w:rsid w:val="00704009"/>
    <w:rsid w:val="007049E4"/>
    <w:rsid w:val="0070688C"/>
    <w:rsid w:val="0070773F"/>
    <w:rsid w:val="007102C7"/>
    <w:rsid w:val="00710F87"/>
    <w:rsid w:val="00712DD1"/>
    <w:rsid w:val="00714609"/>
    <w:rsid w:val="007155A9"/>
    <w:rsid w:val="00723AAC"/>
    <w:rsid w:val="00724E81"/>
    <w:rsid w:val="007306F5"/>
    <w:rsid w:val="00731C9C"/>
    <w:rsid w:val="00734C4F"/>
    <w:rsid w:val="00736BA8"/>
    <w:rsid w:val="00737934"/>
    <w:rsid w:val="007433B7"/>
    <w:rsid w:val="007447AD"/>
    <w:rsid w:val="0074648F"/>
    <w:rsid w:val="007523D1"/>
    <w:rsid w:val="0075319E"/>
    <w:rsid w:val="00754D24"/>
    <w:rsid w:val="007626CD"/>
    <w:rsid w:val="0076605F"/>
    <w:rsid w:val="00773312"/>
    <w:rsid w:val="0077623D"/>
    <w:rsid w:val="00780CAF"/>
    <w:rsid w:val="00782288"/>
    <w:rsid w:val="007833B8"/>
    <w:rsid w:val="00790635"/>
    <w:rsid w:val="00792365"/>
    <w:rsid w:val="0079584E"/>
    <w:rsid w:val="007963B5"/>
    <w:rsid w:val="007A018B"/>
    <w:rsid w:val="007A02C3"/>
    <w:rsid w:val="007A6AD1"/>
    <w:rsid w:val="007A7455"/>
    <w:rsid w:val="007C10C3"/>
    <w:rsid w:val="007D3175"/>
    <w:rsid w:val="007D372D"/>
    <w:rsid w:val="007D4095"/>
    <w:rsid w:val="007D5466"/>
    <w:rsid w:val="007D731D"/>
    <w:rsid w:val="007E0E0E"/>
    <w:rsid w:val="007E4CD1"/>
    <w:rsid w:val="007E58FB"/>
    <w:rsid w:val="00804087"/>
    <w:rsid w:val="00804152"/>
    <w:rsid w:val="008048B0"/>
    <w:rsid w:val="00804D0D"/>
    <w:rsid w:val="00805016"/>
    <w:rsid w:val="00810289"/>
    <w:rsid w:val="00810F34"/>
    <w:rsid w:val="0081329D"/>
    <w:rsid w:val="00822C3B"/>
    <w:rsid w:val="00822F3D"/>
    <w:rsid w:val="008242DD"/>
    <w:rsid w:val="008341B8"/>
    <w:rsid w:val="008365C1"/>
    <w:rsid w:val="008427C6"/>
    <w:rsid w:val="00847328"/>
    <w:rsid w:val="008563C4"/>
    <w:rsid w:val="008612EC"/>
    <w:rsid w:val="00871966"/>
    <w:rsid w:val="00872C18"/>
    <w:rsid w:val="0087533C"/>
    <w:rsid w:val="0088001E"/>
    <w:rsid w:val="008820BF"/>
    <w:rsid w:val="00886A42"/>
    <w:rsid w:val="008909F5"/>
    <w:rsid w:val="00891F13"/>
    <w:rsid w:val="00894072"/>
    <w:rsid w:val="00897000"/>
    <w:rsid w:val="008A3AE9"/>
    <w:rsid w:val="008B01A0"/>
    <w:rsid w:val="008C2D14"/>
    <w:rsid w:val="008C327C"/>
    <w:rsid w:val="008C7CB2"/>
    <w:rsid w:val="008C7E43"/>
    <w:rsid w:val="008D26DE"/>
    <w:rsid w:val="008D3C7C"/>
    <w:rsid w:val="008E5390"/>
    <w:rsid w:val="008E62FF"/>
    <w:rsid w:val="00902C55"/>
    <w:rsid w:val="009032E9"/>
    <w:rsid w:val="009143AE"/>
    <w:rsid w:val="00914466"/>
    <w:rsid w:val="00917A3D"/>
    <w:rsid w:val="0092212E"/>
    <w:rsid w:val="00940C3F"/>
    <w:rsid w:val="00950247"/>
    <w:rsid w:val="00951271"/>
    <w:rsid w:val="0096133E"/>
    <w:rsid w:val="00972EC1"/>
    <w:rsid w:val="009755D7"/>
    <w:rsid w:val="0097562C"/>
    <w:rsid w:val="00981448"/>
    <w:rsid w:val="009842C0"/>
    <w:rsid w:val="009874C4"/>
    <w:rsid w:val="009A09D5"/>
    <w:rsid w:val="009B7A6D"/>
    <w:rsid w:val="009B7BBA"/>
    <w:rsid w:val="009D399B"/>
    <w:rsid w:val="009E6308"/>
    <w:rsid w:val="009E663B"/>
    <w:rsid w:val="00A010F6"/>
    <w:rsid w:val="00A056EF"/>
    <w:rsid w:val="00A1118B"/>
    <w:rsid w:val="00A16BC5"/>
    <w:rsid w:val="00A21E21"/>
    <w:rsid w:val="00A2415F"/>
    <w:rsid w:val="00A31151"/>
    <w:rsid w:val="00A345A7"/>
    <w:rsid w:val="00A4264F"/>
    <w:rsid w:val="00A4312B"/>
    <w:rsid w:val="00A4558C"/>
    <w:rsid w:val="00A627C2"/>
    <w:rsid w:val="00A755A7"/>
    <w:rsid w:val="00A7590A"/>
    <w:rsid w:val="00A76E8D"/>
    <w:rsid w:val="00A8671F"/>
    <w:rsid w:val="00AA081C"/>
    <w:rsid w:val="00AA0CD6"/>
    <w:rsid w:val="00AA1CAB"/>
    <w:rsid w:val="00AA3D88"/>
    <w:rsid w:val="00AB59AE"/>
    <w:rsid w:val="00AB6B35"/>
    <w:rsid w:val="00AC2A27"/>
    <w:rsid w:val="00AC4B4C"/>
    <w:rsid w:val="00AD2895"/>
    <w:rsid w:val="00AD376D"/>
    <w:rsid w:val="00AD4B4A"/>
    <w:rsid w:val="00AD6F0C"/>
    <w:rsid w:val="00AE75F8"/>
    <w:rsid w:val="00AF40D1"/>
    <w:rsid w:val="00B00566"/>
    <w:rsid w:val="00B11B98"/>
    <w:rsid w:val="00B17835"/>
    <w:rsid w:val="00B34E7B"/>
    <w:rsid w:val="00B358CF"/>
    <w:rsid w:val="00B36922"/>
    <w:rsid w:val="00B40AB1"/>
    <w:rsid w:val="00B4378B"/>
    <w:rsid w:val="00B437D5"/>
    <w:rsid w:val="00B5353D"/>
    <w:rsid w:val="00B74E6A"/>
    <w:rsid w:val="00B77E36"/>
    <w:rsid w:val="00B94BCC"/>
    <w:rsid w:val="00B95649"/>
    <w:rsid w:val="00B96611"/>
    <w:rsid w:val="00BA24FB"/>
    <w:rsid w:val="00BB3B51"/>
    <w:rsid w:val="00BB409B"/>
    <w:rsid w:val="00BB7507"/>
    <w:rsid w:val="00BC1FBB"/>
    <w:rsid w:val="00BC321E"/>
    <w:rsid w:val="00BC40C1"/>
    <w:rsid w:val="00BC6BE9"/>
    <w:rsid w:val="00BC6DFB"/>
    <w:rsid w:val="00BC70B9"/>
    <w:rsid w:val="00BC75A2"/>
    <w:rsid w:val="00BE4719"/>
    <w:rsid w:val="00BE6A8D"/>
    <w:rsid w:val="00BE7A8E"/>
    <w:rsid w:val="00BF194B"/>
    <w:rsid w:val="00C025D8"/>
    <w:rsid w:val="00C22278"/>
    <w:rsid w:val="00C24F5D"/>
    <w:rsid w:val="00C360BB"/>
    <w:rsid w:val="00C42B74"/>
    <w:rsid w:val="00C44136"/>
    <w:rsid w:val="00C66A2D"/>
    <w:rsid w:val="00C74B3B"/>
    <w:rsid w:val="00C82347"/>
    <w:rsid w:val="00C86434"/>
    <w:rsid w:val="00C86BA4"/>
    <w:rsid w:val="00C9119A"/>
    <w:rsid w:val="00C96B78"/>
    <w:rsid w:val="00C96BDE"/>
    <w:rsid w:val="00CA1EB0"/>
    <w:rsid w:val="00CB145D"/>
    <w:rsid w:val="00CB46DF"/>
    <w:rsid w:val="00CB4AC0"/>
    <w:rsid w:val="00CC62A8"/>
    <w:rsid w:val="00CD2B65"/>
    <w:rsid w:val="00CD3255"/>
    <w:rsid w:val="00CD3A3A"/>
    <w:rsid w:val="00CE4A03"/>
    <w:rsid w:val="00CE4F23"/>
    <w:rsid w:val="00CE6E4F"/>
    <w:rsid w:val="00CE751F"/>
    <w:rsid w:val="00CF1681"/>
    <w:rsid w:val="00CF1972"/>
    <w:rsid w:val="00CF4ABC"/>
    <w:rsid w:val="00D013CB"/>
    <w:rsid w:val="00D03EAE"/>
    <w:rsid w:val="00D06560"/>
    <w:rsid w:val="00D06672"/>
    <w:rsid w:val="00D06AB1"/>
    <w:rsid w:val="00D132F4"/>
    <w:rsid w:val="00D15700"/>
    <w:rsid w:val="00D15A3F"/>
    <w:rsid w:val="00D175A9"/>
    <w:rsid w:val="00D25812"/>
    <w:rsid w:val="00D427E8"/>
    <w:rsid w:val="00D5195B"/>
    <w:rsid w:val="00D5347F"/>
    <w:rsid w:val="00D53FD9"/>
    <w:rsid w:val="00D57A3A"/>
    <w:rsid w:val="00D65C1F"/>
    <w:rsid w:val="00D66181"/>
    <w:rsid w:val="00D70C13"/>
    <w:rsid w:val="00D806E1"/>
    <w:rsid w:val="00D8085C"/>
    <w:rsid w:val="00D81CCE"/>
    <w:rsid w:val="00D83CDC"/>
    <w:rsid w:val="00D8476C"/>
    <w:rsid w:val="00D93247"/>
    <w:rsid w:val="00DA7959"/>
    <w:rsid w:val="00DB0E56"/>
    <w:rsid w:val="00DB3637"/>
    <w:rsid w:val="00DC1346"/>
    <w:rsid w:val="00DD1622"/>
    <w:rsid w:val="00DD378B"/>
    <w:rsid w:val="00DD3979"/>
    <w:rsid w:val="00DD4430"/>
    <w:rsid w:val="00DD4FB0"/>
    <w:rsid w:val="00DD72EE"/>
    <w:rsid w:val="00DE366B"/>
    <w:rsid w:val="00DE5DE7"/>
    <w:rsid w:val="00DF1E24"/>
    <w:rsid w:val="00E041B8"/>
    <w:rsid w:val="00E04A1A"/>
    <w:rsid w:val="00E052F0"/>
    <w:rsid w:val="00E12B37"/>
    <w:rsid w:val="00E22767"/>
    <w:rsid w:val="00E22B01"/>
    <w:rsid w:val="00E268DE"/>
    <w:rsid w:val="00E33945"/>
    <w:rsid w:val="00E34E26"/>
    <w:rsid w:val="00E4197C"/>
    <w:rsid w:val="00E41B20"/>
    <w:rsid w:val="00E42F14"/>
    <w:rsid w:val="00E42F73"/>
    <w:rsid w:val="00E54FA5"/>
    <w:rsid w:val="00E62E99"/>
    <w:rsid w:val="00E6657F"/>
    <w:rsid w:val="00E76B5F"/>
    <w:rsid w:val="00E77BB0"/>
    <w:rsid w:val="00E8334E"/>
    <w:rsid w:val="00E9256A"/>
    <w:rsid w:val="00E9304D"/>
    <w:rsid w:val="00E93402"/>
    <w:rsid w:val="00EA1629"/>
    <w:rsid w:val="00EA3E68"/>
    <w:rsid w:val="00EB041D"/>
    <w:rsid w:val="00EB23CF"/>
    <w:rsid w:val="00EB54D5"/>
    <w:rsid w:val="00ED0239"/>
    <w:rsid w:val="00ED317E"/>
    <w:rsid w:val="00EE1C7F"/>
    <w:rsid w:val="00EE76F4"/>
    <w:rsid w:val="00EF03CA"/>
    <w:rsid w:val="00EF282B"/>
    <w:rsid w:val="00EF4E77"/>
    <w:rsid w:val="00F03398"/>
    <w:rsid w:val="00F06A31"/>
    <w:rsid w:val="00F11C37"/>
    <w:rsid w:val="00F13C9D"/>
    <w:rsid w:val="00F24ECC"/>
    <w:rsid w:val="00F27889"/>
    <w:rsid w:val="00F3271B"/>
    <w:rsid w:val="00F35FE7"/>
    <w:rsid w:val="00F36F47"/>
    <w:rsid w:val="00F37A69"/>
    <w:rsid w:val="00F50FB6"/>
    <w:rsid w:val="00F55260"/>
    <w:rsid w:val="00F558E4"/>
    <w:rsid w:val="00F56CE4"/>
    <w:rsid w:val="00F56FB4"/>
    <w:rsid w:val="00F57DA5"/>
    <w:rsid w:val="00F602C9"/>
    <w:rsid w:val="00F610AC"/>
    <w:rsid w:val="00F62A39"/>
    <w:rsid w:val="00F64FAA"/>
    <w:rsid w:val="00F66E0C"/>
    <w:rsid w:val="00F82D6A"/>
    <w:rsid w:val="00F85FCC"/>
    <w:rsid w:val="00F90DAF"/>
    <w:rsid w:val="00F90E7D"/>
    <w:rsid w:val="00FA6E2D"/>
    <w:rsid w:val="00FB0B34"/>
    <w:rsid w:val="00FB21C1"/>
    <w:rsid w:val="00FC0DBF"/>
    <w:rsid w:val="00FC332D"/>
    <w:rsid w:val="00FC369A"/>
    <w:rsid w:val="00FC6E03"/>
    <w:rsid w:val="00FD1AB9"/>
    <w:rsid w:val="00FD27EB"/>
    <w:rsid w:val="00FD4E34"/>
    <w:rsid w:val="00FD75EB"/>
    <w:rsid w:val="00FE1658"/>
    <w:rsid w:val="00FE3901"/>
    <w:rsid w:val="00FE3FF4"/>
    <w:rsid w:val="00FF0062"/>
    <w:rsid w:val="00FF2E79"/>
    <w:rsid w:val="00FF49DD"/>
    <w:rsid w:val="00FF4BB8"/>
    <w:rsid w:val="00FF6781"/>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103"/>
    <w:pPr>
      <w:spacing w:after="160" w:line="259" w:lineRule="auto"/>
    </w:pPr>
    <w:rPr>
      <w:lang w:eastAsia="en-US"/>
    </w:rPr>
  </w:style>
  <w:style w:type="paragraph" w:styleId="Heading1">
    <w:name w:val="heading 1"/>
    <w:basedOn w:val="Normal"/>
    <w:next w:val="Normal"/>
    <w:link w:val="Heading1Char"/>
    <w:uiPriority w:val="99"/>
    <w:qFormat/>
    <w:rsid w:val="00BF194B"/>
    <w:pPr>
      <w:keepNext/>
      <w:keepLines/>
      <w:spacing w:before="240" w:after="0"/>
      <w:outlineLvl w:val="0"/>
    </w:pPr>
    <w:rPr>
      <w:rFonts w:ascii="Calibri Light" w:eastAsia="Times New Roman" w:hAnsi="Calibri Light"/>
      <w:color w:val="2E74B5"/>
      <w:sz w:val="32"/>
      <w:szCs w:val="32"/>
    </w:rPr>
  </w:style>
  <w:style w:type="paragraph" w:styleId="Heading2">
    <w:name w:val="heading 2"/>
    <w:basedOn w:val="Normal"/>
    <w:next w:val="Normal"/>
    <w:link w:val="Heading2Char"/>
    <w:uiPriority w:val="99"/>
    <w:qFormat/>
    <w:rsid w:val="00BF194B"/>
    <w:pPr>
      <w:keepNext/>
      <w:keepLines/>
      <w:spacing w:before="40" w:after="0"/>
      <w:outlineLvl w:val="1"/>
    </w:pPr>
    <w:rPr>
      <w:rFonts w:ascii="Calibri Light" w:eastAsia="Times New Roman" w:hAnsi="Calibri Light"/>
      <w:color w:val="2E74B5"/>
      <w:sz w:val="26"/>
      <w:szCs w:val="26"/>
    </w:rPr>
  </w:style>
  <w:style w:type="paragraph" w:styleId="Heading3">
    <w:name w:val="heading 3"/>
    <w:basedOn w:val="Normal"/>
    <w:next w:val="Normal"/>
    <w:link w:val="Heading3Char"/>
    <w:uiPriority w:val="99"/>
    <w:qFormat/>
    <w:rsid w:val="005A21EF"/>
    <w:pPr>
      <w:keepNext/>
      <w:spacing w:after="80" w:line="240" w:lineRule="auto"/>
      <w:ind w:left="11"/>
      <w:outlineLvl w:val="2"/>
    </w:pPr>
    <w:rPr>
      <w:rFonts w:ascii="Calibri Light" w:eastAsia="Times New Roman" w:hAnsi="Calibri Light" w:cs="Arial"/>
      <w:bCs/>
      <w:iCs/>
      <w:color w:val="1F4E79"/>
      <w:sz w:val="24"/>
      <w:szCs w:val="24"/>
    </w:rPr>
  </w:style>
  <w:style w:type="paragraph" w:styleId="Heading4">
    <w:name w:val="heading 4"/>
    <w:basedOn w:val="Normal"/>
    <w:next w:val="Normal"/>
    <w:link w:val="Heading4Char"/>
    <w:uiPriority w:val="99"/>
    <w:qFormat/>
    <w:rsid w:val="00E41B20"/>
    <w:pPr>
      <w:keepNext/>
      <w:keepLines/>
      <w:spacing w:before="40" w:after="0"/>
      <w:outlineLvl w:val="3"/>
    </w:pPr>
    <w:rPr>
      <w:rFonts w:ascii="Calibri Light" w:eastAsia="Times New Roman" w:hAnsi="Calibri Light"/>
      <w:i/>
      <w:iCs/>
      <w:color w:val="2E74B5"/>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194B"/>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BF194B"/>
    <w:rPr>
      <w:rFonts w:ascii="Calibri Light" w:hAnsi="Calibri Light" w:cs="Times New Roman"/>
      <w:color w:val="2E74B5"/>
      <w:sz w:val="26"/>
      <w:szCs w:val="26"/>
    </w:rPr>
  </w:style>
  <w:style w:type="character" w:customStyle="1" w:styleId="Heading3Char">
    <w:name w:val="Heading 3 Char"/>
    <w:basedOn w:val="DefaultParagraphFont"/>
    <w:link w:val="Heading3"/>
    <w:uiPriority w:val="99"/>
    <w:locked/>
    <w:rsid w:val="005A21EF"/>
    <w:rPr>
      <w:rFonts w:ascii="Calibri Light" w:hAnsi="Calibri Light" w:cs="Arial"/>
      <w:bCs/>
      <w:iCs/>
      <w:color w:val="1F4E79"/>
      <w:sz w:val="24"/>
      <w:szCs w:val="24"/>
    </w:rPr>
  </w:style>
  <w:style w:type="character" w:customStyle="1" w:styleId="Heading4Char">
    <w:name w:val="Heading 4 Char"/>
    <w:basedOn w:val="DefaultParagraphFont"/>
    <w:link w:val="Heading4"/>
    <w:uiPriority w:val="99"/>
    <w:locked/>
    <w:rsid w:val="00E41B20"/>
    <w:rPr>
      <w:rFonts w:ascii="Calibri Light" w:hAnsi="Calibri Light" w:cs="Times New Roman"/>
      <w:i/>
      <w:iCs/>
      <w:color w:val="2E74B5"/>
    </w:rPr>
  </w:style>
  <w:style w:type="paragraph" w:styleId="NormalWeb">
    <w:name w:val="Normal (Web)"/>
    <w:basedOn w:val="Normal"/>
    <w:uiPriority w:val="99"/>
    <w:rsid w:val="00BF194B"/>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rsid w:val="00BF194B"/>
    <w:rPr>
      <w:rFonts w:cs="Times New Roman"/>
      <w:color w:val="0000FF"/>
      <w:u w:val="single"/>
    </w:rPr>
  </w:style>
  <w:style w:type="paragraph" w:customStyle="1" w:styleId="Heading">
    <w:name w:val="Heading"/>
    <w:basedOn w:val="Normal"/>
    <w:next w:val="Normal"/>
    <w:uiPriority w:val="99"/>
    <w:rsid w:val="00BF194B"/>
    <w:pPr>
      <w:keepNext/>
      <w:widowControl w:val="0"/>
      <w:tabs>
        <w:tab w:val="right" w:pos="9072"/>
      </w:tabs>
      <w:spacing w:before="120" w:after="240" w:line="240" w:lineRule="auto"/>
      <w:jc w:val="both"/>
    </w:pPr>
    <w:rPr>
      <w:rFonts w:ascii="Arial" w:eastAsia="Times New Roman" w:hAnsi="Arial"/>
      <w:b/>
      <w:szCs w:val="20"/>
    </w:rPr>
  </w:style>
  <w:style w:type="paragraph" w:styleId="BalloonText">
    <w:name w:val="Balloon Text"/>
    <w:basedOn w:val="Normal"/>
    <w:link w:val="BalloonTextChar"/>
    <w:uiPriority w:val="99"/>
    <w:semiHidden/>
    <w:rsid w:val="00BF19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F194B"/>
    <w:rPr>
      <w:rFonts w:ascii="Segoe UI" w:hAnsi="Segoe UI" w:cs="Segoe UI"/>
      <w:sz w:val="18"/>
      <w:szCs w:val="18"/>
    </w:rPr>
  </w:style>
  <w:style w:type="paragraph" w:styleId="ListParagraph">
    <w:name w:val="List Paragraph"/>
    <w:basedOn w:val="Normal"/>
    <w:uiPriority w:val="99"/>
    <w:qFormat/>
    <w:rsid w:val="004E4A29"/>
    <w:pPr>
      <w:ind w:left="720"/>
      <w:contextualSpacing/>
    </w:pPr>
  </w:style>
  <w:style w:type="character" w:customStyle="1" w:styleId="apple-converted-space">
    <w:name w:val="apple-converted-space"/>
    <w:basedOn w:val="DefaultParagraphFont"/>
    <w:uiPriority w:val="99"/>
    <w:rsid w:val="00E41B20"/>
    <w:rPr>
      <w:rFonts w:cs="Times New Roman"/>
    </w:rPr>
  </w:style>
  <w:style w:type="table" w:styleId="TableGrid">
    <w:name w:val="Table Grid"/>
    <w:basedOn w:val="TableNormal"/>
    <w:uiPriority w:val="99"/>
    <w:rsid w:val="00E41B20"/>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E41B20"/>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E41B20"/>
    <w:rPr>
      <w:rFonts w:cs="Times New Roman"/>
      <w:sz w:val="20"/>
      <w:szCs w:val="20"/>
    </w:rPr>
  </w:style>
  <w:style w:type="character" w:styleId="FootnoteReference">
    <w:name w:val="footnote reference"/>
    <w:basedOn w:val="DefaultParagraphFont"/>
    <w:uiPriority w:val="99"/>
    <w:rsid w:val="00E41B20"/>
    <w:rPr>
      <w:rFonts w:cs="Times New Roman"/>
      <w:vertAlign w:val="superscript"/>
    </w:rPr>
  </w:style>
  <w:style w:type="paragraph" w:styleId="EndnoteText">
    <w:name w:val="endnote text"/>
    <w:basedOn w:val="Normal"/>
    <w:link w:val="EndnoteTextChar"/>
    <w:uiPriority w:val="99"/>
    <w:semiHidden/>
    <w:rsid w:val="000A3438"/>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0A3438"/>
    <w:rPr>
      <w:rFonts w:cs="Times New Roman"/>
      <w:sz w:val="20"/>
      <w:szCs w:val="20"/>
    </w:rPr>
  </w:style>
  <w:style w:type="character" w:styleId="EndnoteReference">
    <w:name w:val="endnote reference"/>
    <w:basedOn w:val="DefaultParagraphFont"/>
    <w:uiPriority w:val="99"/>
    <w:rsid w:val="000A3438"/>
    <w:rPr>
      <w:rFonts w:cs="Times New Roman"/>
      <w:vertAlign w:val="superscript"/>
    </w:rPr>
  </w:style>
  <w:style w:type="character" w:styleId="CommentReference">
    <w:name w:val="annotation reference"/>
    <w:basedOn w:val="DefaultParagraphFont"/>
    <w:uiPriority w:val="99"/>
    <w:semiHidden/>
    <w:rsid w:val="00B40AB1"/>
    <w:rPr>
      <w:rFonts w:cs="Times New Roman"/>
      <w:sz w:val="16"/>
      <w:szCs w:val="16"/>
    </w:rPr>
  </w:style>
  <w:style w:type="paragraph" w:styleId="CommentText">
    <w:name w:val="annotation text"/>
    <w:basedOn w:val="Normal"/>
    <w:link w:val="CommentTextChar"/>
    <w:uiPriority w:val="99"/>
    <w:semiHidden/>
    <w:rsid w:val="00B40AB1"/>
    <w:pPr>
      <w:spacing w:line="240" w:lineRule="auto"/>
    </w:pPr>
    <w:rPr>
      <w:sz w:val="20"/>
      <w:szCs w:val="20"/>
    </w:rPr>
  </w:style>
  <w:style w:type="character" w:customStyle="1" w:styleId="CommentTextChar">
    <w:name w:val="Comment Text Char"/>
    <w:basedOn w:val="DefaultParagraphFont"/>
    <w:link w:val="CommentText"/>
    <w:uiPriority w:val="99"/>
    <w:semiHidden/>
    <w:locked/>
    <w:rsid w:val="00B40AB1"/>
    <w:rPr>
      <w:rFonts w:cs="Times New Roman"/>
      <w:sz w:val="20"/>
      <w:szCs w:val="20"/>
    </w:rPr>
  </w:style>
  <w:style w:type="paragraph" w:styleId="CommentSubject">
    <w:name w:val="annotation subject"/>
    <w:basedOn w:val="CommentText"/>
    <w:next w:val="CommentText"/>
    <w:link w:val="CommentSubjectChar"/>
    <w:uiPriority w:val="99"/>
    <w:semiHidden/>
    <w:rsid w:val="00B40AB1"/>
    <w:rPr>
      <w:b/>
      <w:bCs/>
    </w:rPr>
  </w:style>
  <w:style w:type="character" w:customStyle="1" w:styleId="CommentSubjectChar">
    <w:name w:val="Comment Subject Char"/>
    <w:basedOn w:val="CommentTextChar"/>
    <w:link w:val="CommentSubject"/>
    <w:uiPriority w:val="99"/>
    <w:semiHidden/>
    <w:locked/>
    <w:rsid w:val="00B40AB1"/>
    <w:rPr>
      <w:b/>
      <w:bCs/>
    </w:rPr>
  </w:style>
</w:styles>
</file>

<file path=word/webSettings.xml><?xml version="1.0" encoding="utf-8"?>
<w:webSettings xmlns:r="http://schemas.openxmlformats.org/officeDocument/2006/relationships" xmlns:w="http://schemas.openxmlformats.org/wordprocessingml/2006/main">
  <w:divs>
    <w:div w:id="240676238">
      <w:marLeft w:val="0"/>
      <w:marRight w:val="0"/>
      <w:marTop w:val="0"/>
      <w:marBottom w:val="0"/>
      <w:divBdr>
        <w:top w:val="none" w:sz="0" w:space="0" w:color="auto"/>
        <w:left w:val="none" w:sz="0" w:space="0" w:color="auto"/>
        <w:bottom w:val="none" w:sz="0" w:space="0" w:color="auto"/>
        <w:right w:val="none" w:sz="0" w:space="0" w:color="auto"/>
      </w:divBdr>
    </w:div>
    <w:div w:id="2406762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16</Pages>
  <Words>3518</Words>
  <Characters>20054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Amanda Darley</dc:creator>
  <cp:keywords/>
  <dc:description/>
  <cp:lastModifiedBy>Chris</cp:lastModifiedBy>
  <cp:revision>2</cp:revision>
  <cp:lastPrinted>2015-06-25T11:48:00Z</cp:lastPrinted>
  <dcterms:created xsi:type="dcterms:W3CDTF">2016-06-20T13:45:00Z</dcterms:created>
  <dcterms:modified xsi:type="dcterms:W3CDTF">2016-06-20T13:45:00Z</dcterms:modified>
</cp:coreProperties>
</file>