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40EB" w:rsidRDefault="00724DC9">
      <w:pPr>
        <w:jc w:val="both"/>
        <w:rPr>
          <w:rFonts w:ascii="Calibri" w:eastAsia="Calibri" w:hAnsi="Calibri" w:cs="Calibri"/>
          <w:b/>
          <w:sz w:val="26"/>
          <w:szCs w:val="26"/>
        </w:rPr>
      </w:pPr>
      <w:r>
        <w:rPr>
          <w:rFonts w:ascii="Calibri" w:eastAsia="Calibri" w:hAnsi="Calibri" w:cs="Calibri"/>
          <w:b/>
          <w:sz w:val="26"/>
          <w:szCs w:val="26"/>
        </w:rPr>
        <w:t>Fundamental Review of Business Rates - Part 1</w:t>
      </w:r>
    </w:p>
    <w:p w14:paraId="00000002" w14:textId="77777777" w:rsidR="00C840EB" w:rsidRDefault="00C840EB">
      <w:pPr>
        <w:jc w:val="both"/>
        <w:rPr>
          <w:rFonts w:ascii="Calibri" w:eastAsia="Calibri" w:hAnsi="Calibri" w:cs="Calibri"/>
        </w:rPr>
      </w:pPr>
    </w:p>
    <w:p w14:paraId="00000003" w14:textId="1D7361BF" w:rsidR="00C840EB" w:rsidRDefault="00724DC9">
      <w:pPr>
        <w:jc w:val="both"/>
        <w:rPr>
          <w:rFonts w:ascii="Calibri" w:eastAsia="Calibri" w:hAnsi="Calibri" w:cs="Calibri"/>
          <w:i/>
        </w:rPr>
      </w:pPr>
      <w:r>
        <w:rPr>
          <w:rFonts w:ascii="Calibri" w:eastAsia="Calibri" w:hAnsi="Calibri" w:cs="Calibri"/>
          <w:i/>
        </w:rPr>
        <w:t>Supplementary response on behalf of the Charity Tax Group, Charity Finance Group, National Council for Voluntary Organisations and Charity Retail Association</w:t>
      </w:r>
      <w:r w:rsidR="00486302">
        <w:rPr>
          <w:rFonts w:ascii="Calibri" w:eastAsia="Calibri" w:hAnsi="Calibri" w:cs="Calibri"/>
          <w:i/>
        </w:rPr>
        <w:t xml:space="preserve"> – 26 October 2020</w:t>
      </w:r>
    </w:p>
    <w:p w14:paraId="00000004" w14:textId="77777777" w:rsidR="00C840EB" w:rsidRDefault="00C840EB">
      <w:pPr>
        <w:jc w:val="both"/>
        <w:rPr>
          <w:rFonts w:ascii="Calibri" w:eastAsia="Calibri" w:hAnsi="Calibri" w:cs="Calibri"/>
        </w:rPr>
      </w:pPr>
    </w:p>
    <w:p w14:paraId="00000005" w14:textId="77777777" w:rsidR="00C840EB" w:rsidRPr="003908D2" w:rsidRDefault="00724DC9" w:rsidP="003908D2">
      <w:pPr>
        <w:pStyle w:val="NoSpacing"/>
        <w:rPr>
          <w:rFonts w:asciiTheme="majorHAnsi" w:hAnsiTheme="majorHAnsi" w:cstheme="majorHAnsi"/>
          <w:b/>
          <w:bCs/>
          <w:sz w:val="24"/>
          <w:szCs w:val="24"/>
        </w:rPr>
      </w:pPr>
      <w:r w:rsidRPr="003908D2">
        <w:rPr>
          <w:rFonts w:asciiTheme="majorHAnsi" w:hAnsiTheme="majorHAnsi" w:cstheme="majorHAnsi"/>
          <w:b/>
          <w:bCs/>
          <w:sz w:val="24"/>
          <w:szCs w:val="24"/>
        </w:rPr>
        <w:t>Overview</w:t>
      </w:r>
    </w:p>
    <w:p w14:paraId="00000006" w14:textId="77777777" w:rsidR="00C840EB" w:rsidRPr="003908D2" w:rsidRDefault="00C840EB" w:rsidP="003908D2">
      <w:pPr>
        <w:pStyle w:val="NoSpacing"/>
        <w:rPr>
          <w:rFonts w:asciiTheme="majorHAnsi" w:hAnsiTheme="majorHAnsi" w:cstheme="majorHAnsi"/>
        </w:rPr>
      </w:pPr>
    </w:p>
    <w:p w14:paraId="00000007" w14:textId="522BC75F" w:rsidR="00C840EB" w:rsidRPr="003908D2"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We welcome the opportunity to submit supplementary evidence to this </w:t>
      </w:r>
      <w:r w:rsidR="00D36F0D">
        <w:rPr>
          <w:rFonts w:asciiTheme="majorHAnsi" w:hAnsiTheme="majorHAnsi" w:cstheme="majorHAnsi"/>
        </w:rPr>
        <w:t>R</w:t>
      </w:r>
      <w:r w:rsidRPr="003908D2">
        <w:rPr>
          <w:rFonts w:asciiTheme="majorHAnsi" w:hAnsiTheme="majorHAnsi" w:cstheme="majorHAnsi"/>
        </w:rPr>
        <w:t>eview and</w:t>
      </w:r>
      <w:r w:rsidR="004562E5">
        <w:rPr>
          <w:rFonts w:asciiTheme="majorHAnsi" w:hAnsiTheme="majorHAnsi" w:cstheme="majorHAnsi"/>
        </w:rPr>
        <w:t xml:space="preserve"> for</w:t>
      </w:r>
      <w:r w:rsidRPr="003908D2">
        <w:rPr>
          <w:rFonts w:asciiTheme="majorHAnsi" w:hAnsiTheme="majorHAnsi" w:cstheme="majorHAnsi"/>
        </w:rPr>
        <w:t xml:space="preserve"> the willingness of HM Treasury and MHCLG officials to engage with the sector at the recent HMRC Charity Tax Forum meeting.</w:t>
      </w:r>
    </w:p>
    <w:p w14:paraId="00000008" w14:textId="77777777" w:rsidR="00C840EB" w:rsidRPr="003908D2" w:rsidRDefault="00C840EB" w:rsidP="003908D2">
      <w:pPr>
        <w:pStyle w:val="NoSpacing"/>
        <w:jc w:val="both"/>
        <w:rPr>
          <w:rFonts w:asciiTheme="majorHAnsi" w:hAnsiTheme="majorHAnsi" w:cstheme="majorHAnsi"/>
        </w:rPr>
      </w:pPr>
    </w:p>
    <w:p w14:paraId="00000009" w14:textId="4304F1BD" w:rsidR="00C840EB" w:rsidRPr="003908D2"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We would reiterate the key points made in our </w:t>
      </w:r>
      <w:hyperlink r:id="rId10">
        <w:r w:rsidRPr="003908D2">
          <w:rPr>
            <w:rFonts w:asciiTheme="majorHAnsi" w:hAnsiTheme="majorHAnsi" w:cstheme="majorHAnsi"/>
            <w:color w:val="1155CC"/>
            <w:u w:val="single"/>
          </w:rPr>
          <w:t>primary submission</w:t>
        </w:r>
      </w:hyperlink>
      <w:r w:rsidRPr="003908D2">
        <w:rPr>
          <w:rFonts w:asciiTheme="majorHAnsi" w:hAnsiTheme="majorHAnsi" w:cstheme="majorHAnsi"/>
        </w:rPr>
        <w:t xml:space="preserve">, which </w:t>
      </w:r>
      <w:r w:rsidR="0082602D">
        <w:rPr>
          <w:rFonts w:asciiTheme="majorHAnsi" w:hAnsiTheme="majorHAnsi" w:cstheme="majorHAnsi"/>
        </w:rPr>
        <w:t>takes int account</w:t>
      </w:r>
      <w:r w:rsidR="00CF65D7">
        <w:rPr>
          <w:rFonts w:asciiTheme="majorHAnsi" w:hAnsiTheme="majorHAnsi" w:cstheme="majorHAnsi"/>
        </w:rPr>
        <w:t xml:space="preserve"> the views of a </w:t>
      </w:r>
      <w:r w:rsidRPr="003908D2">
        <w:rPr>
          <w:rFonts w:asciiTheme="majorHAnsi" w:hAnsiTheme="majorHAnsi" w:cstheme="majorHAnsi"/>
        </w:rPr>
        <w:t>wide number of charities, including representatives of village halls, churches, charity shops, and heritage organisations</w:t>
      </w:r>
      <w:r w:rsidR="004A1953" w:rsidRPr="003908D2">
        <w:rPr>
          <w:rFonts w:asciiTheme="majorHAnsi" w:hAnsiTheme="majorHAnsi" w:cstheme="majorHAnsi"/>
        </w:rPr>
        <w:t>, many of whom also made direct representations to the Review.</w:t>
      </w:r>
    </w:p>
    <w:p w14:paraId="0000000A" w14:textId="77777777" w:rsidR="00C840EB" w:rsidRPr="003908D2" w:rsidRDefault="00C840EB" w:rsidP="003908D2">
      <w:pPr>
        <w:pStyle w:val="NoSpacing"/>
        <w:jc w:val="both"/>
        <w:rPr>
          <w:rFonts w:asciiTheme="majorHAnsi" w:hAnsiTheme="majorHAnsi" w:cstheme="majorHAnsi"/>
        </w:rPr>
      </w:pPr>
    </w:p>
    <w:p w14:paraId="3C3D8B5C" w14:textId="2F5C268C" w:rsidR="00B42AAB" w:rsidRPr="003908D2" w:rsidRDefault="00D83D70" w:rsidP="003908D2">
      <w:pPr>
        <w:pStyle w:val="NoSpacing"/>
        <w:jc w:val="both"/>
        <w:rPr>
          <w:rFonts w:asciiTheme="majorHAnsi" w:hAnsiTheme="majorHAnsi" w:cstheme="majorHAnsi"/>
        </w:rPr>
      </w:pPr>
      <w:r>
        <w:rPr>
          <w:rFonts w:asciiTheme="majorHAnsi" w:hAnsiTheme="majorHAnsi" w:cstheme="majorHAnsi"/>
        </w:rPr>
        <w:t>C</w:t>
      </w:r>
      <w:r w:rsidR="00724DC9" w:rsidRPr="003908D2">
        <w:rPr>
          <w:rFonts w:asciiTheme="majorHAnsi" w:hAnsiTheme="majorHAnsi" w:cstheme="majorHAnsi"/>
        </w:rPr>
        <w:t xml:space="preserve">harities face increased demands on their services due to COVID-19, despite facing substantial reductions in income as a result of restrictions on public fundraising, events and retail. As a result, at the very least, we call for mandatory business rates relief of 80 per cent to be retained, to ensure charities can play </w:t>
      </w:r>
      <w:r w:rsidR="003674B8">
        <w:rPr>
          <w:rFonts w:asciiTheme="majorHAnsi" w:hAnsiTheme="majorHAnsi" w:cstheme="majorHAnsi"/>
        </w:rPr>
        <w:t xml:space="preserve">the most effective role possible </w:t>
      </w:r>
      <w:r w:rsidR="00724DC9" w:rsidRPr="003908D2">
        <w:rPr>
          <w:rFonts w:asciiTheme="majorHAnsi" w:hAnsiTheme="majorHAnsi" w:cstheme="majorHAnsi"/>
        </w:rPr>
        <w:t xml:space="preserve">in the country’s recovery efforts. </w:t>
      </w:r>
      <w:r w:rsidR="00831E93">
        <w:rPr>
          <w:rFonts w:asciiTheme="majorHAnsi" w:hAnsiTheme="majorHAnsi" w:cstheme="majorHAnsi"/>
        </w:rPr>
        <w:t>C</w:t>
      </w:r>
      <w:r w:rsidR="00724DC9" w:rsidRPr="003908D2">
        <w:rPr>
          <w:rFonts w:asciiTheme="majorHAnsi" w:hAnsiTheme="majorHAnsi" w:cstheme="majorHAnsi"/>
        </w:rPr>
        <w:t xml:space="preserve">harity business rates reliefs are long-standing (on the basis that rates should be relieved where a building is used for a charitable purpose) and </w:t>
      </w:r>
      <w:r w:rsidR="00233E9A">
        <w:rPr>
          <w:rFonts w:asciiTheme="majorHAnsi" w:hAnsiTheme="majorHAnsi" w:cstheme="majorHAnsi"/>
        </w:rPr>
        <w:t xml:space="preserve">are </w:t>
      </w:r>
      <w:r w:rsidR="00724DC9" w:rsidRPr="003908D2">
        <w:rPr>
          <w:rFonts w:asciiTheme="majorHAnsi" w:hAnsiTheme="majorHAnsi" w:cstheme="majorHAnsi"/>
        </w:rPr>
        <w:t xml:space="preserve">essential to the financial viability of many charities. As a result, it would be inappropriate and short-sighted for there to be any radical reform of charitable business rates relief </w:t>
      </w:r>
      <w:r w:rsidR="006318F1" w:rsidRPr="003908D2">
        <w:rPr>
          <w:rFonts w:asciiTheme="majorHAnsi" w:hAnsiTheme="majorHAnsi" w:cstheme="majorHAnsi"/>
        </w:rPr>
        <w:t>without substantive consultation with charities</w:t>
      </w:r>
      <w:r w:rsidR="00B42AAB">
        <w:rPr>
          <w:rFonts w:asciiTheme="majorHAnsi" w:hAnsiTheme="majorHAnsi" w:cstheme="majorHAnsi"/>
        </w:rPr>
        <w:t>.</w:t>
      </w:r>
    </w:p>
    <w:p w14:paraId="0000000C" w14:textId="77777777" w:rsidR="00C840EB" w:rsidRPr="003908D2" w:rsidRDefault="00C840EB" w:rsidP="003908D2">
      <w:pPr>
        <w:pStyle w:val="NoSpacing"/>
        <w:jc w:val="both"/>
        <w:rPr>
          <w:rFonts w:asciiTheme="majorHAnsi" w:hAnsiTheme="majorHAnsi" w:cstheme="majorHAnsi"/>
        </w:rPr>
      </w:pPr>
    </w:p>
    <w:p w14:paraId="302C1EFA" w14:textId="5E03B94F" w:rsidR="00233E9A" w:rsidRDefault="00831E93" w:rsidP="003908D2">
      <w:pPr>
        <w:pStyle w:val="NoSpacing"/>
        <w:jc w:val="both"/>
        <w:rPr>
          <w:rFonts w:asciiTheme="majorHAnsi" w:hAnsiTheme="majorHAnsi" w:cstheme="majorHAnsi"/>
        </w:rPr>
      </w:pPr>
      <w:r>
        <w:rPr>
          <w:rFonts w:asciiTheme="majorHAnsi" w:hAnsiTheme="majorHAnsi" w:cstheme="majorHAnsi"/>
        </w:rPr>
        <w:t xml:space="preserve">While </w:t>
      </w:r>
      <w:r w:rsidR="00724DC9" w:rsidRPr="003908D2">
        <w:rPr>
          <w:rFonts w:asciiTheme="majorHAnsi" w:hAnsiTheme="majorHAnsi" w:cstheme="majorHAnsi"/>
        </w:rPr>
        <w:t xml:space="preserve">we are conscious that the Government </w:t>
      </w:r>
      <w:r w:rsidR="00420F43">
        <w:rPr>
          <w:rFonts w:asciiTheme="majorHAnsi" w:hAnsiTheme="majorHAnsi" w:cstheme="majorHAnsi"/>
        </w:rPr>
        <w:t>may</w:t>
      </w:r>
      <w:r w:rsidR="00724DC9" w:rsidRPr="003908D2">
        <w:rPr>
          <w:rFonts w:asciiTheme="majorHAnsi" w:hAnsiTheme="majorHAnsi" w:cstheme="majorHAnsi"/>
        </w:rPr>
        <w:t xml:space="preserve"> receive </w:t>
      </w:r>
      <w:r w:rsidR="00F032FC">
        <w:rPr>
          <w:rFonts w:asciiTheme="majorHAnsi" w:hAnsiTheme="majorHAnsi" w:cstheme="majorHAnsi"/>
        </w:rPr>
        <w:t xml:space="preserve">some </w:t>
      </w:r>
      <w:r w:rsidR="00724DC9" w:rsidRPr="003908D2">
        <w:rPr>
          <w:rFonts w:asciiTheme="majorHAnsi" w:hAnsiTheme="majorHAnsi" w:cstheme="majorHAnsi"/>
        </w:rPr>
        <w:t>representations querying the value and efficacy of charity reliefs</w:t>
      </w:r>
      <w:r>
        <w:rPr>
          <w:rFonts w:asciiTheme="majorHAnsi" w:hAnsiTheme="majorHAnsi" w:cstheme="majorHAnsi"/>
        </w:rPr>
        <w:t>,</w:t>
      </w:r>
      <w:r w:rsidR="00724DC9" w:rsidRPr="003908D2">
        <w:rPr>
          <w:rFonts w:asciiTheme="majorHAnsi" w:hAnsiTheme="majorHAnsi" w:cstheme="majorHAnsi"/>
        </w:rPr>
        <w:t xml:space="preserve"> these concerns </w:t>
      </w:r>
      <w:r>
        <w:rPr>
          <w:rFonts w:asciiTheme="majorHAnsi" w:hAnsiTheme="majorHAnsi" w:cstheme="majorHAnsi"/>
        </w:rPr>
        <w:t>are</w:t>
      </w:r>
      <w:r w:rsidR="00724DC9" w:rsidRPr="003908D2">
        <w:rPr>
          <w:rFonts w:asciiTheme="majorHAnsi" w:hAnsiTheme="majorHAnsi" w:cstheme="majorHAnsi"/>
        </w:rPr>
        <w:t xml:space="preserve"> largely unfounded (including in respect of </w:t>
      </w:r>
      <w:proofErr w:type="spellStart"/>
      <w:r w:rsidR="00724DC9" w:rsidRPr="003908D2">
        <w:rPr>
          <w:rFonts w:asciiTheme="majorHAnsi" w:hAnsiTheme="majorHAnsi" w:cstheme="majorHAnsi"/>
        </w:rPr>
        <w:t>capitalisation</w:t>
      </w:r>
      <w:proofErr w:type="spellEnd"/>
      <w:r w:rsidR="00724DC9" w:rsidRPr="003908D2">
        <w:rPr>
          <w:rFonts w:asciiTheme="majorHAnsi" w:hAnsiTheme="majorHAnsi" w:cstheme="majorHAnsi"/>
        </w:rPr>
        <w:t xml:space="preserve"> of reliefs and “competition” between charity and commercial retailers)</w:t>
      </w:r>
      <w:r>
        <w:rPr>
          <w:rFonts w:asciiTheme="majorHAnsi" w:hAnsiTheme="majorHAnsi" w:cstheme="majorHAnsi"/>
        </w:rPr>
        <w:t xml:space="preserve"> – and our </w:t>
      </w:r>
      <w:r w:rsidR="00724DC9" w:rsidRPr="003908D2">
        <w:rPr>
          <w:rFonts w:asciiTheme="majorHAnsi" w:hAnsiTheme="majorHAnsi" w:cstheme="majorHAnsi"/>
        </w:rPr>
        <w:t>feedback below support</w:t>
      </w:r>
      <w:r>
        <w:rPr>
          <w:rFonts w:asciiTheme="majorHAnsi" w:hAnsiTheme="majorHAnsi" w:cstheme="majorHAnsi"/>
        </w:rPr>
        <w:t>s</w:t>
      </w:r>
      <w:r w:rsidR="00724DC9" w:rsidRPr="003908D2">
        <w:rPr>
          <w:rFonts w:asciiTheme="majorHAnsi" w:hAnsiTheme="majorHAnsi" w:cstheme="majorHAnsi"/>
        </w:rPr>
        <w:t xml:space="preserve"> this. </w:t>
      </w:r>
    </w:p>
    <w:p w14:paraId="3B0B4396" w14:textId="77777777" w:rsidR="00233E9A" w:rsidRDefault="00233E9A" w:rsidP="003908D2">
      <w:pPr>
        <w:pStyle w:val="NoSpacing"/>
        <w:jc w:val="both"/>
        <w:rPr>
          <w:rFonts w:asciiTheme="majorHAnsi" w:hAnsiTheme="majorHAnsi" w:cstheme="majorHAnsi"/>
        </w:rPr>
      </w:pPr>
    </w:p>
    <w:p w14:paraId="0000000D" w14:textId="4809B0AB" w:rsidR="00C840EB" w:rsidRPr="003908D2" w:rsidRDefault="0084302E" w:rsidP="003908D2">
      <w:pPr>
        <w:pStyle w:val="NoSpacing"/>
        <w:jc w:val="both"/>
        <w:rPr>
          <w:rFonts w:asciiTheme="majorHAnsi" w:hAnsiTheme="majorHAnsi" w:cstheme="majorHAnsi"/>
        </w:rPr>
      </w:pPr>
      <w:r>
        <w:rPr>
          <w:rFonts w:asciiTheme="majorHAnsi" w:hAnsiTheme="majorHAnsi" w:cstheme="majorHAnsi"/>
        </w:rPr>
        <w:t>T</w:t>
      </w:r>
      <w:r w:rsidR="00724DC9" w:rsidRPr="003908D2">
        <w:rPr>
          <w:rFonts w:asciiTheme="majorHAnsi" w:hAnsiTheme="majorHAnsi" w:cstheme="majorHAnsi"/>
        </w:rPr>
        <w:t>here are valid concerns about manipulation of charity reliefs</w:t>
      </w:r>
      <w:r w:rsidR="00FC0BA1">
        <w:rPr>
          <w:rFonts w:asciiTheme="majorHAnsi" w:hAnsiTheme="majorHAnsi" w:cstheme="majorHAnsi"/>
        </w:rPr>
        <w:t>.</w:t>
      </w:r>
      <w:r w:rsidR="00703CB7">
        <w:rPr>
          <w:rFonts w:asciiTheme="majorHAnsi" w:hAnsiTheme="majorHAnsi" w:cstheme="majorHAnsi"/>
        </w:rPr>
        <w:t xml:space="preserve"> </w:t>
      </w:r>
      <w:r w:rsidR="00724DC9" w:rsidRPr="003908D2">
        <w:rPr>
          <w:rFonts w:asciiTheme="majorHAnsi" w:hAnsiTheme="majorHAnsi" w:cstheme="majorHAnsi"/>
        </w:rPr>
        <w:t xml:space="preserve"> </w:t>
      </w:r>
      <w:r w:rsidR="00FC0BA1">
        <w:rPr>
          <w:rFonts w:asciiTheme="majorHAnsi" w:hAnsiTheme="majorHAnsi" w:cstheme="majorHAnsi"/>
        </w:rPr>
        <w:t>We</w:t>
      </w:r>
      <w:r w:rsidR="00724DC9" w:rsidRPr="003908D2">
        <w:rPr>
          <w:rFonts w:asciiTheme="majorHAnsi" w:hAnsiTheme="majorHAnsi" w:cstheme="majorHAnsi"/>
        </w:rPr>
        <w:t xml:space="preserve"> support action to protect the integrity of business rates reliefs and exemptions, but any measures taken need to be </w:t>
      </w:r>
      <w:r w:rsidR="00C456BA">
        <w:rPr>
          <w:rFonts w:asciiTheme="majorHAnsi" w:hAnsiTheme="majorHAnsi" w:cstheme="majorHAnsi"/>
        </w:rPr>
        <w:t>effective</w:t>
      </w:r>
      <w:r w:rsidR="00C456BA" w:rsidRPr="003908D2">
        <w:rPr>
          <w:rFonts w:asciiTheme="majorHAnsi" w:hAnsiTheme="majorHAnsi" w:cstheme="majorHAnsi"/>
        </w:rPr>
        <w:t xml:space="preserve"> </w:t>
      </w:r>
      <w:r w:rsidR="00724DC9" w:rsidRPr="003908D2">
        <w:rPr>
          <w:rFonts w:asciiTheme="majorHAnsi" w:hAnsiTheme="majorHAnsi" w:cstheme="majorHAnsi"/>
        </w:rPr>
        <w:t xml:space="preserve">and proportionate. The misuse needs to be addressed but should not disadvantage </w:t>
      </w:r>
      <w:proofErr w:type="gramStart"/>
      <w:r w:rsidR="00724DC9" w:rsidRPr="003908D2">
        <w:rPr>
          <w:rFonts w:asciiTheme="majorHAnsi" w:hAnsiTheme="majorHAnsi" w:cstheme="majorHAnsi"/>
        </w:rPr>
        <w:t>the vast majority of</w:t>
      </w:r>
      <w:proofErr w:type="gramEnd"/>
      <w:r w:rsidR="00724DC9" w:rsidRPr="003908D2">
        <w:rPr>
          <w:rFonts w:asciiTheme="majorHAnsi" w:hAnsiTheme="majorHAnsi" w:cstheme="majorHAnsi"/>
        </w:rPr>
        <w:t xml:space="preserve"> law</w:t>
      </w:r>
      <w:r w:rsidR="00D36F0D">
        <w:rPr>
          <w:rFonts w:asciiTheme="majorHAnsi" w:hAnsiTheme="majorHAnsi" w:cstheme="majorHAnsi"/>
        </w:rPr>
        <w:t>-</w:t>
      </w:r>
      <w:r w:rsidR="00724DC9" w:rsidRPr="003908D2">
        <w:rPr>
          <w:rFonts w:asciiTheme="majorHAnsi" w:hAnsiTheme="majorHAnsi" w:cstheme="majorHAnsi"/>
        </w:rPr>
        <w:t>abiding charities. In this supplementary submission, we have suggested extra steps that could safeguard the reliefs and would be happy to discuss th</w:t>
      </w:r>
      <w:r w:rsidR="00FD436D">
        <w:rPr>
          <w:rFonts w:asciiTheme="majorHAnsi" w:hAnsiTheme="majorHAnsi" w:cstheme="majorHAnsi"/>
        </w:rPr>
        <w:t>em</w:t>
      </w:r>
      <w:r w:rsidR="00724DC9" w:rsidRPr="003908D2">
        <w:rPr>
          <w:rFonts w:asciiTheme="majorHAnsi" w:hAnsiTheme="majorHAnsi" w:cstheme="majorHAnsi"/>
        </w:rPr>
        <w:t xml:space="preserve"> further.</w:t>
      </w:r>
    </w:p>
    <w:p w14:paraId="0000000E" w14:textId="77777777" w:rsidR="00C840EB" w:rsidRDefault="00C840EB">
      <w:pPr>
        <w:jc w:val="both"/>
        <w:rPr>
          <w:rFonts w:ascii="Calibri" w:eastAsia="Calibri" w:hAnsi="Calibri" w:cs="Calibri"/>
        </w:rPr>
      </w:pPr>
    </w:p>
    <w:p w14:paraId="0000000F" w14:textId="48890A1E" w:rsidR="00C840EB" w:rsidRPr="003908D2" w:rsidRDefault="00724DC9" w:rsidP="003908D2">
      <w:pPr>
        <w:pStyle w:val="NoSpacing"/>
        <w:jc w:val="both"/>
        <w:rPr>
          <w:rFonts w:asciiTheme="majorHAnsi" w:hAnsiTheme="majorHAnsi" w:cstheme="majorHAnsi"/>
          <w:b/>
          <w:bCs/>
          <w:sz w:val="24"/>
          <w:szCs w:val="24"/>
        </w:rPr>
      </w:pPr>
      <w:r w:rsidRPr="003908D2">
        <w:rPr>
          <w:rFonts w:asciiTheme="majorHAnsi" w:hAnsiTheme="majorHAnsi" w:cstheme="majorHAnsi"/>
          <w:b/>
          <w:bCs/>
          <w:sz w:val="24"/>
          <w:szCs w:val="24"/>
        </w:rPr>
        <w:t>Importance of business rates relief for charity shops</w:t>
      </w:r>
    </w:p>
    <w:p w14:paraId="4C5600A8" w14:textId="77777777" w:rsidR="003908D2" w:rsidRPr="003908D2" w:rsidRDefault="003908D2" w:rsidP="003908D2">
      <w:pPr>
        <w:pStyle w:val="NoSpacing"/>
        <w:jc w:val="both"/>
        <w:rPr>
          <w:rFonts w:asciiTheme="majorHAnsi" w:hAnsiTheme="majorHAnsi" w:cstheme="majorHAnsi"/>
          <w:b/>
          <w:bCs/>
        </w:rPr>
      </w:pPr>
    </w:p>
    <w:p w14:paraId="00000010" w14:textId="2381745D" w:rsidR="00C840EB"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Charity shops </w:t>
      </w:r>
      <w:proofErr w:type="spellStart"/>
      <w:r w:rsidRPr="003908D2">
        <w:rPr>
          <w:rFonts w:asciiTheme="majorHAnsi" w:hAnsiTheme="majorHAnsi" w:cstheme="majorHAnsi"/>
        </w:rPr>
        <w:t>realise</w:t>
      </w:r>
      <w:proofErr w:type="spellEnd"/>
      <w:r w:rsidRPr="003908D2">
        <w:rPr>
          <w:rFonts w:asciiTheme="majorHAnsi" w:hAnsiTheme="majorHAnsi" w:cstheme="majorHAnsi"/>
        </w:rPr>
        <w:t xml:space="preserve"> the cash value of goods donated to charities by the public</w:t>
      </w:r>
      <w:r w:rsidR="00C92897">
        <w:rPr>
          <w:rFonts w:asciiTheme="majorHAnsi" w:hAnsiTheme="majorHAnsi" w:cstheme="majorHAnsi"/>
        </w:rPr>
        <w:t xml:space="preserve">. </w:t>
      </w:r>
      <w:r w:rsidRPr="003908D2">
        <w:rPr>
          <w:rFonts w:asciiTheme="majorHAnsi" w:hAnsiTheme="majorHAnsi" w:cstheme="majorHAnsi"/>
        </w:rPr>
        <w:t xml:space="preserve"> </w:t>
      </w:r>
      <w:r w:rsidR="00C92897">
        <w:rPr>
          <w:rFonts w:asciiTheme="majorHAnsi" w:hAnsiTheme="majorHAnsi" w:cstheme="majorHAnsi"/>
        </w:rPr>
        <w:t>This</w:t>
      </w:r>
      <w:r w:rsidRPr="003908D2">
        <w:rPr>
          <w:rFonts w:asciiTheme="majorHAnsi" w:hAnsiTheme="majorHAnsi" w:cstheme="majorHAnsi"/>
        </w:rPr>
        <w:t xml:space="preserve"> makes them distinct from other retail businesses.  It is occasionally claimed that charity shop numbers are increasing and that charity shops compete with other shops by selling new goods. The number of charity shops in the UK has remained stable at around 11,200 since 2017 and</w:t>
      </w:r>
      <w:r w:rsidR="00C92897">
        <w:rPr>
          <w:rFonts w:asciiTheme="majorHAnsi" w:hAnsiTheme="majorHAnsi" w:cstheme="majorHAnsi"/>
        </w:rPr>
        <w:t>, on average,</w:t>
      </w:r>
      <w:r w:rsidRPr="003908D2">
        <w:rPr>
          <w:rFonts w:asciiTheme="majorHAnsi" w:hAnsiTheme="majorHAnsi" w:cstheme="majorHAnsi"/>
        </w:rPr>
        <w:t xml:space="preserve"> charity shops generate less than 6% of their income from bought-in new goods.</w:t>
      </w:r>
    </w:p>
    <w:p w14:paraId="2BD3FB8F" w14:textId="77777777" w:rsidR="003908D2" w:rsidRPr="003908D2" w:rsidRDefault="003908D2" w:rsidP="003908D2">
      <w:pPr>
        <w:pStyle w:val="NoSpacing"/>
        <w:jc w:val="both"/>
        <w:rPr>
          <w:rFonts w:asciiTheme="majorHAnsi" w:hAnsiTheme="majorHAnsi" w:cstheme="majorHAnsi"/>
        </w:rPr>
      </w:pPr>
    </w:p>
    <w:p w14:paraId="00000011" w14:textId="57F9AAF1" w:rsidR="00C840EB"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Charity retailers raised £331 million for charitable causes in </w:t>
      </w:r>
      <w:r w:rsidR="00204DF8">
        <w:rPr>
          <w:rFonts w:asciiTheme="majorHAnsi" w:hAnsiTheme="majorHAnsi" w:cstheme="majorHAnsi"/>
        </w:rPr>
        <w:t>the year to 31 March 2019</w:t>
      </w:r>
      <w:r w:rsidR="00703CB7">
        <w:rPr>
          <w:rFonts w:asciiTheme="majorHAnsi" w:hAnsiTheme="majorHAnsi" w:cstheme="majorHAnsi"/>
        </w:rPr>
        <w:t>.</w:t>
      </w:r>
      <w:r w:rsidR="00204DF8">
        <w:rPr>
          <w:rFonts w:asciiTheme="majorHAnsi" w:hAnsiTheme="majorHAnsi" w:cstheme="majorHAnsi"/>
        </w:rPr>
        <w:t xml:space="preserve">  They</w:t>
      </w:r>
      <w:r w:rsidRPr="003908D2">
        <w:rPr>
          <w:rFonts w:asciiTheme="majorHAnsi" w:hAnsiTheme="majorHAnsi" w:cstheme="majorHAnsi"/>
        </w:rPr>
        <w:t xml:space="preserve"> provide 26,000 jobs (FTE) and 233,000 volunteer opportunities whilst supporting the vibrancy of our high streets by generating customer footfall. </w:t>
      </w:r>
      <w:r w:rsidR="00E440FB">
        <w:rPr>
          <w:rFonts w:asciiTheme="majorHAnsi" w:hAnsiTheme="majorHAnsi" w:cstheme="majorHAnsi"/>
        </w:rPr>
        <w:t>The</w:t>
      </w:r>
      <w:r w:rsidRPr="003908D2">
        <w:rPr>
          <w:rFonts w:asciiTheme="majorHAnsi" w:hAnsiTheme="majorHAnsi" w:cstheme="majorHAnsi"/>
        </w:rPr>
        <w:t xml:space="preserve"> contribution of charity shops to the environment is substantial. Charity shops enable 339,000 </w:t>
      </w:r>
      <w:proofErr w:type="spellStart"/>
      <w:r w:rsidRPr="003908D2">
        <w:rPr>
          <w:rFonts w:asciiTheme="majorHAnsi" w:hAnsiTheme="majorHAnsi" w:cstheme="majorHAnsi"/>
        </w:rPr>
        <w:t>tonnes</w:t>
      </w:r>
      <w:proofErr w:type="spellEnd"/>
      <w:r w:rsidRPr="003908D2">
        <w:rPr>
          <w:rFonts w:asciiTheme="majorHAnsi" w:hAnsiTheme="majorHAnsi" w:cstheme="majorHAnsi"/>
        </w:rPr>
        <w:t xml:space="preserve"> of textiles a year to be reused or recycled</w:t>
      </w:r>
      <w:r w:rsidR="00E440FB">
        <w:rPr>
          <w:rFonts w:asciiTheme="majorHAnsi" w:hAnsiTheme="majorHAnsi" w:cstheme="majorHAnsi"/>
        </w:rPr>
        <w:t xml:space="preserve">.  </w:t>
      </w:r>
      <w:r w:rsidRPr="003908D2">
        <w:rPr>
          <w:rFonts w:asciiTheme="majorHAnsi" w:hAnsiTheme="majorHAnsi" w:cstheme="majorHAnsi"/>
        </w:rPr>
        <w:t xml:space="preserve"> </w:t>
      </w:r>
      <w:r w:rsidR="00E440FB">
        <w:rPr>
          <w:rFonts w:asciiTheme="majorHAnsi" w:hAnsiTheme="majorHAnsi" w:cstheme="majorHAnsi"/>
        </w:rPr>
        <w:t>This</w:t>
      </w:r>
      <w:r w:rsidRPr="003908D2">
        <w:rPr>
          <w:rFonts w:asciiTheme="majorHAnsi" w:hAnsiTheme="majorHAnsi" w:cstheme="majorHAnsi"/>
        </w:rPr>
        <w:t xml:space="preserve"> is greater than the volume of textiles disposed of as waste. </w:t>
      </w:r>
      <w:r w:rsidR="006B3B58">
        <w:rPr>
          <w:rFonts w:asciiTheme="majorHAnsi" w:hAnsiTheme="majorHAnsi" w:cstheme="majorHAnsi"/>
        </w:rPr>
        <w:t>C</w:t>
      </w:r>
      <w:r w:rsidRPr="003908D2">
        <w:rPr>
          <w:rFonts w:asciiTheme="majorHAnsi" w:hAnsiTheme="majorHAnsi" w:cstheme="majorHAnsi"/>
        </w:rPr>
        <w:t xml:space="preserve">harity shops </w:t>
      </w:r>
      <w:r w:rsidR="006B3B58">
        <w:rPr>
          <w:rFonts w:asciiTheme="majorHAnsi" w:hAnsiTheme="majorHAnsi" w:cstheme="majorHAnsi"/>
        </w:rPr>
        <w:t>make</w:t>
      </w:r>
      <w:r w:rsidRPr="003908D2">
        <w:rPr>
          <w:rFonts w:asciiTheme="majorHAnsi" w:hAnsiTheme="majorHAnsi" w:cstheme="majorHAnsi"/>
        </w:rPr>
        <w:t xml:space="preserve"> affordable second</w:t>
      </w:r>
      <w:r w:rsidR="003908D2">
        <w:rPr>
          <w:rFonts w:asciiTheme="majorHAnsi" w:hAnsiTheme="majorHAnsi" w:cstheme="majorHAnsi"/>
        </w:rPr>
        <w:t>-</w:t>
      </w:r>
      <w:r w:rsidRPr="003908D2">
        <w:rPr>
          <w:rFonts w:asciiTheme="majorHAnsi" w:hAnsiTheme="majorHAnsi" w:cstheme="majorHAnsi"/>
        </w:rPr>
        <w:t xml:space="preserve">hand goods available to those on lower incomes </w:t>
      </w:r>
      <w:r w:rsidR="006B3B58">
        <w:rPr>
          <w:rFonts w:asciiTheme="majorHAnsi" w:hAnsiTheme="majorHAnsi" w:cstheme="majorHAnsi"/>
        </w:rPr>
        <w:t>and</w:t>
      </w:r>
      <w:r w:rsidRPr="003908D2">
        <w:rPr>
          <w:rFonts w:asciiTheme="majorHAnsi" w:hAnsiTheme="majorHAnsi" w:cstheme="majorHAnsi"/>
        </w:rPr>
        <w:t xml:space="preserve"> reduce waste disposal costs for local authorities.</w:t>
      </w:r>
    </w:p>
    <w:p w14:paraId="03BB6E74" w14:textId="77777777" w:rsidR="003908D2" w:rsidRPr="003908D2" w:rsidRDefault="003908D2" w:rsidP="003908D2">
      <w:pPr>
        <w:pStyle w:val="NoSpacing"/>
        <w:jc w:val="both"/>
        <w:rPr>
          <w:rFonts w:asciiTheme="majorHAnsi" w:hAnsiTheme="majorHAnsi" w:cstheme="majorHAnsi"/>
        </w:rPr>
      </w:pPr>
    </w:p>
    <w:p w14:paraId="00000012" w14:textId="6EFC2DD9" w:rsidR="00C840EB"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Business rates relief is essential </w:t>
      </w:r>
      <w:r w:rsidR="00DE6642">
        <w:rPr>
          <w:rFonts w:asciiTheme="majorHAnsi" w:hAnsiTheme="majorHAnsi" w:cstheme="majorHAnsi"/>
        </w:rPr>
        <w:t>for</w:t>
      </w:r>
      <w:r w:rsidRPr="003908D2">
        <w:rPr>
          <w:rFonts w:asciiTheme="majorHAnsi" w:hAnsiTheme="majorHAnsi" w:cstheme="majorHAnsi"/>
        </w:rPr>
        <w:t xml:space="preserve"> the financial viability of</w:t>
      </w:r>
      <w:r w:rsidR="00DE6642">
        <w:rPr>
          <w:rFonts w:asciiTheme="majorHAnsi" w:hAnsiTheme="majorHAnsi" w:cstheme="majorHAnsi"/>
        </w:rPr>
        <w:t xml:space="preserve"> most</w:t>
      </w:r>
      <w:r w:rsidRPr="003908D2">
        <w:rPr>
          <w:rFonts w:asciiTheme="majorHAnsi" w:hAnsiTheme="majorHAnsi" w:cstheme="majorHAnsi"/>
        </w:rPr>
        <w:t xml:space="preserve"> charity shops. </w:t>
      </w:r>
    </w:p>
    <w:p w14:paraId="1481BBD5" w14:textId="77777777" w:rsidR="003908D2" w:rsidRPr="003908D2" w:rsidRDefault="003908D2" w:rsidP="003908D2">
      <w:pPr>
        <w:pStyle w:val="NoSpacing"/>
        <w:jc w:val="both"/>
        <w:rPr>
          <w:rFonts w:asciiTheme="majorHAnsi" w:hAnsiTheme="majorHAnsi" w:cstheme="majorHAnsi"/>
        </w:rPr>
      </w:pPr>
    </w:p>
    <w:p w14:paraId="0039CD6A" w14:textId="77777777" w:rsidR="00B7136E" w:rsidRDefault="00B7136E" w:rsidP="003908D2">
      <w:pPr>
        <w:pStyle w:val="NoSpacing"/>
        <w:jc w:val="both"/>
        <w:rPr>
          <w:rFonts w:asciiTheme="majorHAnsi" w:hAnsiTheme="majorHAnsi" w:cstheme="majorHAnsi"/>
          <w:b/>
          <w:bCs/>
          <w:sz w:val="24"/>
          <w:szCs w:val="24"/>
        </w:rPr>
      </w:pPr>
    </w:p>
    <w:p w14:paraId="00000013" w14:textId="075C6FCD" w:rsidR="00C840EB" w:rsidRPr="003908D2" w:rsidRDefault="00724DC9" w:rsidP="003908D2">
      <w:pPr>
        <w:pStyle w:val="NoSpacing"/>
        <w:jc w:val="both"/>
        <w:rPr>
          <w:rFonts w:asciiTheme="majorHAnsi" w:hAnsiTheme="majorHAnsi" w:cstheme="majorHAnsi"/>
          <w:b/>
          <w:bCs/>
          <w:sz w:val="24"/>
          <w:szCs w:val="24"/>
        </w:rPr>
      </w:pPr>
      <w:proofErr w:type="spellStart"/>
      <w:r w:rsidRPr="003908D2">
        <w:rPr>
          <w:rFonts w:asciiTheme="majorHAnsi" w:hAnsiTheme="majorHAnsi" w:cstheme="majorHAnsi"/>
          <w:b/>
          <w:bCs/>
          <w:sz w:val="24"/>
          <w:szCs w:val="24"/>
        </w:rPr>
        <w:lastRenderedPageBreak/>
        <w:t>Capitalisation</w:t>
      </w:r>
      <w:proofErr w:type="spellEnd"/>
      <w:r w:rsidRPr="003908D2">
        <w:rPr>
          <w:rFonts w:asciiTheme="majorHAnsi" w:hAnsiTheme="majorHAnsi" w:cstheme="majorHAnsi"/>
          <w:b/>
          <w:bCs/>
          <w:sz w:val="24"/>
          <w:szCs w:val="24"/>
        </w:rPr>
        <w:t xml:space="preserve"> of reliefs</w:t>
      </w:r>
    </w:p>
    <w:p w14:paraId="00000014" w14:textId="77777777" w:rsidR="00C840EB" w:rsidRPr="003908D2" w:rsidRDefault="00C840EB" w:rsidP="003908D2">
      <w:pPr>
        <w:pStyle w:val="NoSpacing"/>
        <w:jc w:val="both"/>
        <w:rPr>
          <w:rFonts w:asciiTheme="majorHAnsi" w:hAnsiTheme="majorHAnsi" w:cstheme="majorHAnsi"/>
        </w:rPr>
      </w:pPr>
    </w:p>
    <w:p w14:paraId="00000015" w14:textId="620DB818" w:rsidR="00C840EB" w:rsidRPr="003908D2" w:rsidRDefault="005100B7" w:rsidP="003908D2">
      <w:pPr>
        <w:pStyle w:val="NoSpacing"/>
        <w:jc w:val="both"/>
        <w:rPr>
          <w:rFonts w:asciiTheme="majorHAnsi" w:hAnsiTheme="majorHAnsi" w:cstheme="majorHAnsi"/>
        </w:rPr>
      </w:pPr>
      <w:r>
        <w:rPr>
          <w:rFonts w:asciiTheme="majorHAnsi" w:hAnsiTheme="majorHAnsi" w:cstheme="majorHAnsi"/>
        </w:rPr>
        <w:t>W</w:t>
      </w:r>
      <w:r w:rsidR="00724DC9" w:rsidRPr="003908D2">
        <w:rPr>
          <w:rFonts w:asciiTheme="majorHAnsi" w:hAnsiTheme="majorHAnsi" w:cstheme="majorHAnsi"/>
        </w:rPr>
        <w:t>e are aware that there is sometimes a misconception that mandatory rates relief</w:t>
      </w:r>
      <w:r w:rsidR="006318F1" w:rsidRPr="003908D2">
        <w:rPr>
          <w:rFonts w:asciiTheme="majorHAnsi" w:hAnsiTheme="majorHAnsi" w:cstheme="majorHAnsi"/>
        </w:rPr>
        <w:t xml:space="preserve"> </w:t>
      </w:r>
      <w:r w:rsidR="00724DC9" w:rsidRPr="003908D2">
        <w:rPr>
          <w:rFonts w:asciiTheme="majorHAnsi" w:hAnsiTheme="majorHAnsi" w:cstheme="majorHAnsi"/>
        </w:rPr>
        <w:t>for charities results in higher rents over time. Charities with significant property portfolios take active steps to ensure that this is not the case. Many charities engage third parties to manage their properties and strike rent deals that are comparable with market competitors</w:t>
      </w:r>
      <w:r w:rsidR="00831E93">
        <w:rPr>
          <w:rFonts w:asciiTheme="majorHAnsi" w:hAnsiTheme="majorHAnsi" w:cstheme="majorHAnsi"/>
        </w:rPr>
        <w:t>. This is because charities have a</w:t>
      </w:r>
      <w:r w:rsidR="00724DC9" w:rsidRPr="003908D2">
        <w:rPr>
          <w:rFonts w:asciiTheme="majorHAnsi" w:hAnsiTheme="majorHAnsi" w:cstheme="majorHAnsi"/>
        </w:rPr>
        <w:t xml:space="preserve"> fiduciary duty to ensure that they </w:t>
      </w:r>
      <w:r>
        <w:rPr>
          <w:rFonts w:asciiTheme="majorHAnsi" w:hAnsiTheme="majorHAnsi" w:cstheme="majorHAnsi"/>
        </w:rPr>
        <w:t>use</w:t>
      </w:r>
      <w:r w:rsidR="00724DC9" w:rsidRPr="003908D2">
        <w:rPr>
          <w:rFonts w:asciiTheme="majorHAnsi" w:hAnsiTheme="majorHAnsi" w:cstheme="majorHAnsi"/>
        </w:rPr>
        <w:t xml:space="preserve"> charity funds</w:t>
      </w:r>
      <w:r>
        <w:rPr>
          <w:rFonts w:asciiTheme="majorHAnsi" w:hAnsiTheme="majorHAnsi" w:cstheme="majorHAnsi"/>
        </w:rPr>
        <w:t xml:space="preserve"> wisely</w:t>
      </w:r>
      <w:r w:rsidR="00724DC9" w:rsidRPr="003908D2">
        <w:rPr>
          <w:rFonts w:asciiTheme="majorHAnsi" w:hAnsiTheme="majorHAnsi" w:cstheme="majorHAnsi"/>
        </w:rPr>
        <w:t xml:space="preserve">. </w:t>
      </w:r>
    </w:p>
    <w:p w14:paraId="00000016" w14:textId="77777777" w:rsidR="00C840EB" w:rsidRPr="003908D2" w:rsidRDefault="00C840EB" w:rsidP="003908D2">
      <w:pPr>
        <w:pStyle w:val="NoSpacing"/>
        <w:jc w:val="both"/>
        <w:rPr>
          <w:rFonts w:asciiTheme="majorHAnsi" w:hAnsiTheme="majorHAnsi" w:cstheme="majorHAnsi"/>
        </w:rPr>
      </w:pPr>
    </w:p>
    <w:p w14:paraId="00000017" w14:textId="72DEE30E" w:rsidR="00C840EB" w:rsidRPr="003908D2"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As a result, we do not consider that the value of reliefs available to charities has an undue impact on the setting of rents that charities pay. </w:t>
      </w:r>
      <w:r w:rsidR="006318F1" w:rsidRPr="003908D2">
        <w:rPr>
          <w:rFonts w:asciiTheme="majorHAnsi" w:hAnsiTheme="majorHAnsi" w:cstheme="majorHAnsi"/>
        </w:rPr>
        <w:t>Given</w:t>
      </w:r>
      <w:r w:rsidRPr="003908D2">
        <w:rPr>
          <w:rFonts w:asciiTheme="majorHAnsi" w:hAnsiTheme="majorHAnsi" w:cstheme="majorHAnsi"/>
        </w:rPr>
        <w:t xml:space="preserve"> the</w:t>
      </w:r>
      <w:r w:rsidR="006318F1" w:rsidRPr="003908D2">
        <w:rPr>
          <w:rFonts w:asciiTheme="majorHAnsi" w:hAnsiTheme="majorHAnsi" w:cstheme="majorHAnsi"/>
        </w:rPr>
        <w:t xml:space="preserve"> adverse</w:t>
      </w:r>
      <w:r w:rsidRPr="003908D2">
        <w:rPr>
          <w:rFonts w:asciiTheme="majorHAnsi" w:hAnsiTheme="majorHAnsi" w:cstheme="majorHAnsi"/>
        </w:rPr>
        <w:t xml:space="preserve"> impact of COVID-19 </w:t>
      </w:r>
      <w:r w:rsidR="006318F1" w:rsidRPr="003908D2">
        <w:rPr>
          <w:rFonts w:asciiTheme="majorHAnsi" w:hAnsiTheme="majorHAnsi" w:cstheme="majorHAnsi"/>
        </w:rPr>
        <w:t>on demand for commercial property units this seems even less likely going forward.</w:t>
      </w:r>
    </w:p>
    <w:p w14:paraId="00000018" w14:textId="77777777" w:rsidR="00C840EB" w:rsidRPr="003908D2" w:rsidRDefault="00C840EB">
      <w:pPr>
        <w:jc w:val="both"/>
        <w:rPr>
          <w:rFonts w:asciiTheme="majorHAnsi" w:eastAsia="Calibri" w:hAnsiTheme="majorHAnsi" w:cstheme="majorHAnsi"/>
        </w:rPr>
      </w:pPr>
    </w:p>
    <w:p w14:paraId="00000019" w14:textId="27C53C9B" w:rsidR="00C840EB" w:rsidRDefault="00724DC9">
      <w:pPr>
        <w:jc w:val="both"/>
        <w:rPr>
          <w:rFonts w:asciiTheme="majorHAnsi" w:eastAsia="Calibri" w:hAnsiTheme="majorHAnsi" w:cstheme="majorHAnsi"/>
          <w:b/>
          <w:sz w:val="24"/>
          <w:szCs w:val="24"/>
        </w:rPr>
      </w:pPr>
      <w:r w:rsidRPr="003908D2">
        <w:rPr>
          <w:rFonts w:asciiTheme="majorHAnsi" w:eastAsia="Calibri" w:hAnsiTheme="majorHAnsi" w:cstheme="majorHAnsi"/>
          <w:b/>
          <w:sz w:val="24"/>
          <w:szCs w:val="24"/>
        </w:rPr>
        <w:t>Next in charitable use exemption</w:t>
      </w:r>
    </w:p>
    <w:p w14:paraId="54B2BD9B" w14:textId="77777777" w:rsidR="003908D2" w:rsidRPr="003908D2" w:rsidRDefault="003908D2" w:rsidP="003908D2">
      <w:pPr>
        <w:pStyle w:val="NoSpacing"/>
      </w:pPr>
    </w:p>
    <w:p w14:paraId="0000001A" w14:textId="66D26F70" w:rsidR="00C840EB" w:rsidRPr="003908D2" w:rsidRDefault="00724DC9" w:rsidP="00D36F0D">
      <w:pPr>
        <w:pStyle w:val="NoSpacing"/>
        <w:jc w:val="both"/>
        <w:rPr>
          <w:rFonts w:asciiTheme="majorHAnsi" w:hAnsiTheme="majorHAnsi" w:cstheme="majorHAnsi"/>
        </w:rPr>
      </w:pPr>
      <w:r w:rsidRPr="003908D2">
        <w:rPr>
          <w:rFonts w:asciiTheme="majorHAnsi" w:hAnsiTheme="majorHAnsi" w:cstheme="majorHAnsi"/>
        </w:rPr>
        <w:t xml:space="preserve">While the "next in charitable use" exemption is </w:t>
      </w:r>
      <w:r w:rsidR="006318F1" w:rsidRPr="003908D2">
        <w:rPr>
          <w:rFonts w:asciiTheme="majorHAnsi" w:hAnsiTheme="majorHAnsi" w:cstheme="majorHAnsi"/>
        </w:rPr>
        <w:t>not</w:t>
      </w:r>
      <w:r w:rsidRPr="003908D2">
        <w:rPr>
          <w:rFonts w:asciiTheme="majorHAnsi" w:hAnsiTheme="majorHAnsi" w:cstheme="majorHAnsi"/>
        </w:rPr>
        <w:t xml:space="preserve"> used by </w:t>
      </w:r>
      <w:r w:rsidR="006318F1" w:rsidRPr="003908D2">
        <w:rPr>
          <w:rFonts w:asciiTheme="majorHAnsi" w:hAnsiTheme="majorHAnsi" w:cstheme="majorHAnsi"/>
        </w:rPr>
        <w:t xml:space="preserve">many </w:t>
      </w:r>
      <w:r w:rsidRPr="003908D2">
        <w:rPr>
          <w:rFonts w:asciiTheme="majorHAnsi" w:hAnsiTheme="majorHAnsi" w:cstheme="majorHAnsi"/>
        </w:rPr>
        <w:t xml:space="preserve">charities, we are aware of examples where it is very valuable to </w:t>
      </w:r>
      <w:r w:rsidR="0080374E">
        <w:rPr>
          <w:rFonts w:asciiTheme="majorHAnsi" w:hAnsiTheme="majorHAnsi" w:cstheme="majorHAnsi"/>
        </w:rPr>
        <w:t>many</w:t>
      </w:r>
      <w:r w:rsidR="0080374E" w:rsidRPr="003908D2">
        <w:rPr>
          <w:rFonts w:asciiTheme="majorHAnsi" w:hAnsiTheme="majorHAnsi" w:cstheme="majorHAnsi"/>
        </w:rPr>
        <w:t xml:space="preserve"> </w:t>
      </w:r>
      <w:r w:rsidRPr="003908D2">
        <w:rPr>
          <w:rFonts w:asciiTheme="majorHAnsi" w:hAnsiTheme="majorHAnsi" w:cstheme="majorHAnsi"/>
        </w:rPr>
        <w:t>with a large portfolio of property (such as the National Trust).  Examples include:</w:t>
      </w:r>
    </w:p>
    <w:p w14:paraId="4A276475" w14:textId="77777777" w:rsidR="003908D2" w:rsidRPr="003908D2" w:rsidRDefault="003908D2" w:rsidP="00D36F0D">
      <w:pPr>
        <w:pStyle w:val="NoSpacing"/>
        <w:jc w:val="both"/>
        <w:rPr>
          <w:rFonts w:asciiTheme="majorHAnsi" w:hAnsiTheme="majorHAnsi" w:cstheme="majorHAnsi"/>
        </w:rPr>
      </w:pPr>
    </w:p>
    <w:p w14:paraId="0000001B" w14:textId="50BA6097" w:rsidR="00C840EB" w:rsidRPr="003908D2" w:rsidRDefault="00724DC9" w:rsidP="00D36F0D">
      <w:pPr>
        <w:pStyle w:val="NoSpacing"/>
        <w:numPr>
          <w:ilvl w:val="0"/>
          <w:numId w:val="3"/>
        </w:numPr>
        <w:jc w:val="both"/>
        <w:rPr>
          <w:rFonts w:asciiTheme="majorHAnsi" w:hAnsiTheme="majorHAnsi" w:cstheme="majorHAnsi"/>
        </w:rPr>
      </w:pPr>
      <w:r w:rsidRPr="003908D2">
        <w:rPr>
          <w:rFonts w:asciiTheme="majorHAnsi" w:hAnsiTheme="majorHAnsi" w:cstheme="majorHAnsi"/>
        </w:rPr>
        <w:t xml:space="preserve">Where a property has previously been let out by the </w:t>
      </w:r>
      <w:r w:rsidR="00831E93">
        <w:rPr>
          <w:rFonts w:asciiTheme="majorHAnsi" w:hAnsiTheme="majorHAnsi" w:cstheme="majorHAnsi"/>
        </w:rPr>
        <w:t>c</w:t>
      </w:r>
      <w:r w:rsidRPr="003908D2">
        <w:rPr>
          <w:rFonts w:asciiTheme="majorHAnsi" w:hAnsiTheme="majorHAnsi" w:cstheme="majorHAnsi"/>
        </w:rPr>
        <w:t xml:space="preserve">harity to a third party, who vacates the premises.  The building remains empty pending repair or </w:t>
      </w:r>
      <w:proofErr w:type="gramStart"/>
      <w:r w:rsidRPr="003908D2">
        <w:rPr>
          <w:rFonts w:asciiTheme="majorHAnsi" w:hAnsiTheme="majorHAnsi" w:cstheme="majorHAnsi"/>
        </w:rPr>
        <w:t>refurbishment</w:t>
      </w:r>
      <w:proofErr w:type="gramEnd"/>
      <w:r w:rsidRPr="003908D2">
        <w:rPr>
          <w:rFonts w:asciiTheme="majorHAnsi" w:hAnsiTheme="majorHAnsi" w:cstheme="majorHAnsi"/>
        </w:rPr>
        <w:t xml:space="preserve"> but the </w:t>
      </w:r>
      <w:r w:rsidR="00831E93">
        <w:rPr>
          <w:rFonts w:asciiTheme="majorHAnsi" w:hAnsiTheme="majorHAnsi" w:cstheme="majorHAnsi"/>
        </w:rPr>
        <w:t>c</w:t>
      </w:r>
      <w:r w:rsidRPr="003908D2">
        <w:rPr>
          <w:rFonts w:asciiTheme="majorHAnsi" w:hAnsiTheme="majorHAnsi" w:cstheme="majorHAnsi"/>
        </w:rPr>
        <w:t xml:space="preserve">harity wishes to use the building for its own charitable purposes after the work is undertaken.  Without the relief, the </w:t>
      </w:r>
      <w:r w:rsidR="00831E93">
        <w:rPr>
          <w:rFonts w:asciiTheme="majorHAnsi" w:hAnsiTheme="majorHAnsi" w:cstheme="majorHAnsi"/>
        </w:rPr>
        <w:t>c</w:t>
      </w:r>
      <w:r w:rsidRPr="003908D2">
        <w:rPr>
          <w:rFonts w:asciiTheme="majorHAnsi" w:hAnsiTheme="majorHAnsi" w:cstheme="majorHAnsi"/>
        </w:rPr>
        <w:t xml:space="preserve">harity would be liable to pay full rates after only 3 months.  </w:t>
      </w:r>
      <w:r w:rsidR="00222DAD">
        <w:rPr>
          <w:rFonts w:asciiTheme="majorHAnsi" w:hAnsiTheme="majorHAnsi" w:cstheme="majorHAnsi"/>
        </w:rPr>
        <w:t>It</w:t>
      </w:r>
      <w:r w:rsidRPr="003908D2">
        <w:rPr>
          <w:rFonts w:asciiTheme="majorHAnsi" w:hAnsiTheme="majorHAnsi" w:cstheme="majorHAnsi"/>
        </w:rPr>
        <w:t xml:space="preserve"> can take a long time to get project funding to repair a property which may have suffered neglect in the hands of a tenant.</w:t>
      </w:r>
    </w:p>
    <w:p w14:paraId="3B383225" w14:textId="77777777" w:rsidR="003908D2" w:rsidRPr="003908D2" w:rsidRDefault="003908D2" w:rsidP="00D36F0D">
      <w:pPr>
        <w:pStyle w:val="NoSpacing"/>
        <w:ind w:left="720"/>
        <w:jc w:val="both"/>
        <w:rPr>
          <w:rFonts w:asciiTheme="majorHAnsi" w:hAnsiTheme="majorHAnsi" w:cstheme="majorHAnsi"/>
        </w:rPr>
      </w:pPr>
    </w:p>
    <w:p w14:paraId="0000001C" w14:textId="01A9EF8D" w:rsidR="00C840EB" w:rsidRPr="003908D2" w:rsidRDefault="00724DC9" w:rsidP="00D36F0D">
      <w:pPr>
        <w:pStyle w:val="NoSpacing"/>
        <w:numPr>
          <w:ilvl w:val="0"/>
          <w:numId w:val="3"/>
        </w:numPr>
        <w:jc w:val="both"/>
        <w:rPr>
          <w:rFonts w:asciiTheme="majorHAnsi" w:hAnsiTheme="majorHAnsi" w:cstheme="majorHAnsi"/>
        </w:rPr>
      </w:pPr>
      <w:r w:rsidRPr="003908D2">
        <w:rPr>
          <w:rFonts w:asciiTheme="majorHAnsi" w:hAnsiTheme="majorHAnsi" w:cstheme="majorHAnsi"/>
        </w:rPr>
        <w:t xml:space="preserve">Where a property has been previously used by the </w:t>
      </w:r>
      <w:r w:rsidR="00831E93">
        <w:rPr>
          <w:rFonts w:asciiTheme="majorHAnsi" w:hAnsiTheme="majorHAnsi" w:cstheme="majorHAnsi"/>
        </w:rPr>
        <w:t>c</w:t>
      </w:r>
      <w:r w:rsidRPr="003908D2">
        <w:rPr>
          <w:rFonts w:asciiTheme="majorHAnsi" w:hAnsiTheme="majorHAnsi" w:cstheme="majorHAnsi"/>
        </w:rPr>
        <w:t xml:space="preserve">harity for its own purposes, but the </w:t>
      </w:r>
      <w:r w:rsidR="00831E93">
        <w:rPr>
          <w:rFonts w:asciiTheme="majorHAnsi" w:hAnsiTheme="majorHAnsi" w:cstheme="majorHAnsi"/>
        </w:rPr>
        <w:t>c</w:t>
      </w:r>
      <w:r w:rsidRPr="003908D2">
        <w:rPr>
          <w:rFonts w:asciiTheme="majorHAnsi" w:hAnsiTheme="majorHAnsi" w:cstheme="majorHAnsi"/>
        </w:rPr>
        <w:t xml:space="preserve">harity has now vacated the premises and is seeking a third party charity partner to run the operations in its place (e.g. education </w:t>
      </w:r>
      <w:proofErr w:type="spellStart"/>
      <w:r w:rsidRPr="003908D2">
        <w:rPr>
          <w:rFonts w:asciiTheme="majorHAnsi" w:hAnsiTheme="majorHAnsi" w:cstheme="majorHAnsi"/>
        </w:rPr>
        <w:t>centre</w:t>
      </w:r>
      <w:proofErr w:type="spellEnd"/>
      <w:r w:rsidRPr="003908D2">
        <w:rPr>
          <w:rFonts w:asciiTheme="majorHAnsi" w:hAnsiTheme="majorHAnsi" w:cstheme="majorHAnsi"/>
        </w:rPr>
        <w:t xml:space="preserve">, conservation workshop, nature reserve with visitor facilities).  Again, the premises may remain empty for some time whilst a suitable charity partner can be found. As many charities restructure their operations in response to the COVID-19 crisis, this may become more common.  </w:t>
      </w:r>
    </w:p>
    <w:p w14:paraId="1F97367B" w14:textId="01E87933" w:rsidR="00E90567" w:rsidRPr="003908D2" w:rsidRDefault="00E90567" w:rsidP="003908D2">
      <w:pPr>
        <w:pStyle w:val="NoSpacing"/>
        <w:ind w:left="720"/>
        <w:rPr>
          <w:rFonts w:asciiTheme="majorHAnsi" w:hAnsiTheme="majorHAnsi" w:cstheme="majorHAnsi"/>
        </w:rPr>
      </w:pPr>
    </w:p>
    <w:p w14:paraId="72F64F8B" w14:textId="503B9EC9" w:rsidR="003908D2" w:rsidRDefault="00E90567" w:rsidP="003908D2">
      <w:pPr>
        <w:pStyle w:val="NoSpacing"/>
        <w:jc w:val="both"/>
        <w:rPr>
          <w:rFonts w:asciiTheme="majorHAnsi" w:hAnsiTheme="majorHAnsi" w:cstheme="majorHAnsi"/>
        </w:rPr>
      </w:pPr>
      <w:r>
        <w:rPr>
          <w:rFonts w:asciiTheme="majorHAnsi" w:hAnsiTheme="majorHAnsi" w:cstheme="majorHAnsi"/>
        </w:rPr>
        <w:t>W</w:t>
      </w:r>
      <w:r w:rsidR="00724DC9" w:rsidRPr="003908D2">
        <w:rPr>
          <w:rFonts w:asciiTheme="majorHAnsi" w:hAnsiTheme="majorHAnsi" w:cstheme="majorHAnsi"/>
        </w:rPr>
        <w:t>e are aware that organisations, including the Local Government Association, have raised concerns that the "next in charitable use" exemption is being claimed in cases where the future use of a property is unclear. We recognise these concerns, although caution that cases of misuse are very rare. For that reason</w:t>
      </w:r>
      <w:r w:rsidR="00876AEB">
        <w:rPr>
          <w:rFonts w:asciiTheme="majorHAnsi" w:hAnsiTheme="majorHAnsi" w:cstheme="majorHAnsi"/>
        </w:rPr>
        <w:t>,</w:t>
      </w:r>
      <w:r w:rsidR="00724DC9" w:rsidRPr="003908D2">
        <w:rPr>
          <w:rFonts w:asciiTheme="majorHAnsi" w:hAnsiTheme="majorHAnsi" w:cstheme="majorHAnsi"/>
        </w:rPr>
        <w:t xml:space="preserve"> we would suggest that the exemption is retained, but that additional safeguards could be introduced</w:t>
      </w:r>
      <w:r w:rsidR="00876AEB">
        <w:rPr>
          <w:rFonts w:asciiTheme="majorHAnsi" w:hAnsiTheme="majorHAnsi" w:cstheme="majorHAnsi"/>
        </w:rPr>
        <w:t>.</w:t>
      </w:r>
    </w:p>
    <w:p w14:paraId="63A5529E" w14:textId="77777777" w:rsidR="003908D2" w:rsidRPr="003908D2" w:rsidRDefault="003908D2" w:rsidP="003908D2">
      <w:pPr>
        <w:pStyle w:val="NoSpacing"/>
        <w:jc w:val="both"/>
        <w:rPr>
          <w:rFonts w:asciiTheme="majorHAnsi" w:hAnsiTheme="majorHAnsi" w:cstheme="majorHAnsi"/>
        </w:rPr>
      </w:pPr>
    </w:p>
    <w:p w14:paraId="0000001E" w14:textId="75E87C52" w:rsidR="00C840EB" w:rsidRPr="003908D2" w:rsidRDefault="00724DC9" w:rsidP="003908D2">
      <w:pPr>
        <w:pStyle w:val="NoSpacing"/>
        <w:jc w:val="both"/>
        <w:rPr>
          <w:rFonts w:asciiTheme="majorHAnsi" w:hAnsiTheme="majorHAnsi" w:cstheme="majorHAnsi"/>
          <w:i/>
        </w:rPr>
      </w:pPr>
      <w:r w:rsidRPr="003908D2">
        <w:rPr>
          <w:rFonts w:asciiTheme="majorHAnsi" w:hAnsiTheme="majorHAnsi" w:cstheme="majorHAnsi"/>
        </w:rPr>
        <w:t>Section 45A of the Local Government Finance Act 1988, already states that the exemption applies where</w:t>
      </w:r>
    </w:p>
    <w:p w14:paraId="0997E4A8" w14:textId="77777777" w:rsidR="003908D2" w:rsidRPr="003908D2" w:rsidRDefault="003908D2" w:rsidP="003908D2">
      <w:pPr>
        <w:pStyle w:val="NoSpacing"/>
        <w:jc w:val="both"/>
        <w:rPr>
          <w:rFonts w:asciiTheme="majorHAnsi" w:hAnsiTheme="majorHAnsi" w:cstheme="majorHAnsi"/>
          <w:i/>
        </w:rPr>
      </w:pPr>
    </w:p>
    <w:p w14:paraId="0000001F" w14:textId="6E568E24" w:rsidR="00C840EB" w:rsidRPr="003908D2" w:rsidRDefault="00724DC9" w:rsidP="003908D2">
      <w:pPr>
        <w:pStyle w:val="NoSpacing"/>
        <w:numPr>
          <w:ilvl w:val="0"/>
          <w:numId w:val="4"/>
        </w:numPr>
        <w:jc w:val="both"/>
        <w:rPr>
          <w:rFonts w:asciiTheme="majorHAnsi" w:hAnsiTheme="majorHAnsi" w:cstheme="majorHAnsi"/>
          <w:i/>
        </w:rPr>
      </w:pPr>
      <w:r w:rsidRPr="003908D2">
        <w:rPr>
          <w:rFonts w:asciiTheme="majorHAnsi" w:hAnsiTheme="majorHAnsi" w:cstheme="majorHAnsi"/>
          <w:i/>
        </w:rPr>
        <w:t>the ratepayer is a charity or trustees for a charity, and</w:t>
      </w:r>
    </w:p>
    <w:p w14:paraId="00000020" w14:textId="232BB1F6" w:rsidR="00C840EB" w:rsidRPr="003908D2" w:rsidRDefault="00724DC9" w:rsidP="003908D2">
      <w:pPr>
        <w:pStyle w:val="NoSpacing"/>
        <w:numPr>
          <w:ilvl w:val="0"/>
          <w:numId w:val="4"/>
        </w:numPr>
        <w:jc w:val="both"/>
        <w:rPr>
          <w:rFonts w:asciiTheme="majorHAnsi" w:hAnsiTheme="majorHAnsi" w:cstheme="majorHAnsi"/>
          <w:i/>
        </w:rPr>
      </w:pPr>
      <w:r w:rsidRPr="003908D2">
        <w:rPr>
          <w:rFonts w:asciiTheme="majorHAnsi" w:hAnsiTheme="majorHAnsi" w:cstheme="majorHAnsi"/>
          <w:i/>
        </w:rPr>
        <w:t xml:space="preserve">it </w:t>
      </w:r>
      <w:r w:rsidRPr="003908D2">
        <w:rPr>
          <w:rFonts w:asciiTheme="majorHAnsi" w:hAnsiTheme="majorHAnsi" w:cstheme="majorHAnsi"/>
          <w:b/>
          <w:i/>
        </w:rPr>
        <w:t>appears</w:t>
      </w:r>
      <w:r w:rsidRPr="003908D2">
        <w:rPr>
          <w:rFonts w:asciiTheme="majorHAnsi" w:hAnsiTheme="majorHAnsi" w:cstheme="majorHAnsi"/>
          <w:i/>
        </w:rPr>
        <w:t xml:space="preserve"> that when next in use the hereditament will be wholly or mainly used for charitable purposes (whether of that charity or of that and other charities).</w:t>
      </w:r>
    </w:p>
    <w:p w14:paraId="1A10AB3F" w14:textId="77777777" w:rsidR="003908D2" w:rsidRPr="003908D2" w:rsidRDefault="003908D2" w:rsidP="003908D2">
      <w:pPr>
        <w:pStyle w:val="NoSpacing"/>
        <w:jc w:val="both"/>
        <w:rPr>
          <w:rFonts w:asciiTheme="majorHAnsi" w:hAnsiTheme="majorHAnsi" w:cstheme="majorHAnsi"/>
        </w:rPr>
      </w:pPr>
    </w:p>
    <w:p w14:paraId="00000021" w14:textId="706E26E9" w:rsidR="00C840EB" w:rsidRPr="003908D2" w:rsidRDefault="008C15B7" w:rsidP="003908D2">
      <w:pPr>
        <w:pStyle w:val="NoSpacing"/>
        <w:jc w:val="both"/>
        <w:rPr>
          <w:rFonts w:asciiTheme="majorHAnsi" w:hAnsiTheme="majorHAnsi" w:cstheme="majorHAnsi"/>
        </w:rPr>
      </w:pPr>
      <w:r>
        <w:rPr>
          <w:rFonts w:asciiTheme="majorHAnsi" w:hAnsiTheme="majorHAnsi" w:cstheme="majorHAnsi"/>
        </w:rPr>
        <w:t>I</w:t>
      </w:r>
      <w:r w:rsidR="00724DC9" w:rsidRPr="003908D2">
        <w:rPr>
          <w:rFonts w:asciiTheme="majorHAnsi" w:hAnsiTheme="majorHAnsi" w:cstheme="majorHAnsi"/>
        </w:rPr>
        <w:t>f there is a desire to place the bar higher, the Government could replac</w:t>
      </w:r>
      <w:r>
        <w:rPr>
          <w:rFonts w:asciiTheme="majorHAnsi" w:hAnsiTheme="majorHAnsi" w:cstheme="majorHAnsi"/>
        </w:rPr>
        <w:t>e</w:t>
      </w:r>
      <w:r w:rsidR="00724DC9" w:rsidRPr="003908D2">
        <w:rPr>
          <w:rFonts w:asciiTheme="majorHAnsi" w:hAnsiTheme="majorHAnsi" w:cstheme="majorHAnsi"/>
        </w:rPr>
        <w:t xml:space="preserve"> the word ‘appears’ with ‘can be substantially demonstrated’ or a similar phrase.</w:t>
      </w:r>
    </w:p>
    <w:p w14:paraId="1856BD6B" w14:textId="77777777" w:rsidR="003908D2" w:rsidRPr="003908D2" w:rsidRDefault="003908D2" w:rsidP="003908D2">
      <w:pPr>
        <w:pStyle w:val="NoSpacing"/>
        <w:jc w:val="both"/>
        <w:rPr>
          <w:rFonts w:asciiTheme="majorHAnsi" w:hAnsiTheme="majorHAnsi" w:cstheme="majorHAnsi"/>
        </w:rPr>
      </w:pPr>
    </w:p>
    <w:p w14:paraId="00000022" w14:textId="49FDCBE7" w:rsidR="00C840EB" w:rsidRPr="003908D2" w:rsidRDefault="00724DC9" w:rsidP="003908D2">
      <w:pPr>
        <w:pStyle w:val="NoSpacing"/>
        <w:jc w:val="both"/>
        <w:rPr>
          <w:rFonts w:asciiTheme="majorHAnsi" w:hAnsiTheme="majorHAnsi" w:cstheme="majorHAnsi"/>
        </w:rPr>
      </w:pPr>
      <w:r w:rsidRPr="003908D2">
        <w:rPr>
          <w:rFonts w:asciiTheme="majorHAnsi" w:hAnsiTheme="majorHAnsi" w:cstheme="majorHAnsi"/>
        </w:rPr>
        <w:t>This could include a written statement setting out the planned next use for the property which demonstrates that the use will fulfil the "wholly or mainly used for charitable purposes" test. To ensure greater consistency, a standard declaratio</w:t>
      </w:r>
      <w:r w:rsidR="00B42AAB">
        <w:rPr>
          <w:rFonts w:asciiTheme="majorHAnsi" w:hAnsiTheme="majorHAnsi" w:cstheme="majorHAnsi"/>
        </w:rPr>
        <w:t>n</w:t>
      </w:r>
      <w:r w:rsidRPr="003908D2">
        <w:rPr>
          <w:rFonts w:asciiTheme="majorHAnsi" w:hAnsiTheme="majorHAnsi" w:cstheme="majorHAnsi"/>
        </w:rPr>
        <w:t xml:space="preserve"> could be issued by billing authorities for charities to sign. The billing authority would have additional information and could be given the </w:t>
      </w:r>
      <w:r w:rsidR="002B0D89">
        <w:rPr>
          <w:rFonts w:asciiTheme="majorHAnsi" w:hAnsiTheme="majorHAnsi" w:cstheme="majorHAnsi"/>
        </w:rPr>
        <w:t>right</w:t>
      </w:r>
      <w:r w:rsidR="002B0D89" w:rsidRPr="003908D2">
        <w:rPr>
          <w:rFonts w:asciiTheme="majorHAnsi" w:hAnsiTheme="majorHAnsi" w:cstheme="majorHAnsi"/>
        </w:rPr>
        <w:t xml:space="preserve"> </w:t>
      </w:r>
      <w:r w:rsidRPr="003908D2">
        <w:rPr>
          <w:rFonts w:asciiTheme="majorHAnsi" w:hAnsiTheme="majorHAnsi" w:cstheme="majorHAnsi"/>
        </w:rPr>
        <w:t xml:space="preserve">to claw back the relief if the intended charitable use did not </w:t>
      </w:r>
      <w:proofErr w:type="spellStart"/>
      <w:r w:rsidRPr="003908D2">
        <w:rPr>
          <w:rFonts w:asciiTheme="majorHAnsi" w:hAnsiTheme="majorHAnsi" w:cstheme="majorHAnsi"/>
        </w:rPr>
        <w:t>materialise</w:t>
      </w:r>
      <w:proofErr w:type="spellEnd"/>
      <w:r w:rsidRPr="003908D2">
        <w:rPr>
          <w:rFonts w:asciiTheme="majorHAnsi" w:hAnsiTheme="majorHAnsi" w:cstheme="majorHAnsi"/>
        </w:rPr>
        <w:t xml:space="preserve">.  </w:t>
      </w:r>
      <w:r w:rsidR="00626C4C">
        <w:rPr>
          <w:rFonts w:asciiTheme="majorHAnsi" w:hAnsiTheme="majorHAnsi" w:cstheme="majorHAnsi"/>
        </w:rPr>
        <w:t>I</w:t>
      </w:r>
      <w:r w:rsidRPr="003908D2">
        <w:rPr>
          <w:rFonts w:asciiTheme="majorHAnsi" w:hAnsiTheme="majorHAnsi" w:cstheme="majorHAnsi"/>
        </w:rPr>
        <w:t xml:space="preserve">f </w:t>
      </w:r>
      <w:r w:rsidR="00626C4C">
        <w:rPr>
          <w:rFonts w:asciiTheme="majorHAnsi" w:hAnsiTheme="majorHAnsi" w:cstheme="majorHAnsi"/>
        </w:rPr>
        <w:t>this</w:t>
      </w:r>
      <w:r w:rsidRPr="003908D2">
        <w:rPr>
          <w:rFonts w:asciiTheme="majorHAnsi" w:hAnsiTheme="majorHAnsi" w:cstheme="majorHAnsi"/>
        </w:rPr>
        <w:t xml:space="preserve"> approach </w:t>
      </w:r>
      <w:r w:rsidR="000100CB">
        <w:rPr>
          <w:rFonts w:asciiTheme="majorHAnsi" w:hAnsiTheme="majorHAnsi" w:cstheme="majorHAnsi"/>
        </w:rPr>
        <w:t>i</w:t>
      </w:r>
      <w:r w:rsidRPr="003908D2">
        <w:rPr>
          <w:rFonts w:asciiTheme="majorHAnsi" w:hAnsiTheme="majorHAnsi" w:cstheme="majorHAnsi"/>
        </w:rPr>
        <w:t xml:space="preserve">s adopted the </w:t>
      </w:r>
      <w:r w:rsidR="006E2137">
        <w:rPr>
          <w:rFonts w:asciiTheme="majorHAnsi" w:hAnsiTheme="majorHAnsi" w:cstheme="majorHAnsi"/>
        </w:rPr>
        <w:t xml:space="preserve">proposed </w:t>
      </w:r>
      <w:r w:rsidRPr="003908D2">
        <w:rPr>
          <w:rFonts w:asciiTheme="majorHAnsi" w:hAnsiTheme="majorHAnsi" w:cstheme="majorHAnsi"/>
        </w:rPr>
        <w:t>reporting processes</w:t>
      </w:r>
      <w:r w:rsidR="000100CB">
        <w:rPr>
          <w:rFonts w:asciiTheme="majorHAnsi" w:hAnsiTheme="majorHAnsi" w:cstheme="majorHAnsi"/>
        </w:rPr>
        <w:t xml:space="preserve"> should</w:t>
      </w:r>
      <w:r w:rsidRPr="003908D2">
        <w:rPr>
          <w:rFonts w:asciiTheme="majorHAnsi" w:hAnsiTheme="majorHAnsi" w:cstheme="majorHAnsi"/>
        </w:rPr>
        <w:t xml:space="preserve"> be </w:t>
      </w:r>
      <w:r w:rsidR="000100CB">
        <w:rPr>
          <w:rFonts w:asciiTheme="majorHAnsi" w:hAnsiTheme="majorHAnsi" w:cstheme="majorHAnsi"/>
        </w:rPr>
        <w:t>checked</w:t>
      </w:r>
      <w:r w:rsidRPr="003908D2">
        <w:rPr>
          <w:rFonts w:asciiTheme="majorHAnsi" w:hAnsiTheme="majorHAnsi" w:cstheme="majorHAnsi"/>
        </w:rPr>
        <w:t xml:space="preserve"> with charities </w:t>
      </w:r>
      <w:r w:rsidR="0015210E">
        <w:rPr>
          <w:rFonts w:asciiTheme="majorHAnsi" w:hAnsiTheme="majorHAnsi" w:cstheme="majorHAnsi"/>
        </w:rPr>
        <w:t>before being implemented</w:t>
      </w:r>
      <w:r w:rsidRPr="003908D2">
        <w:rPr>
          <w:rFonts w:asciiTheme="majorHAnsi" w:hAnsiTheme="majorHAnsi" w:cstheme="majorHAnsi"/>
        </w:rPr>
        <w:t xml:space="preserve"> to ensure </w:t>
      </w:r>
      <w:r w:rsidR="00D63387">
        <w:rPr>
          <w:rFonts w:asciiTheme="majorHAnsi" w:hAnsiTheme="majorHAnsi" w:cstheme="majorHAnsi"/>
        </w:rPr>
        <w:t xml:space="preserve">that </w:t>
      </w:r>
      <w:r w:rsidR="006E2137">
        <w:rPr>
          <w:rFonts w:asciiTheme="majorHAnsi" w:hAnsiTheme="majorHAnsi" w:cstheme="majorHAnsi"/>
        </w:rPr>
        <w:t>they</w:t>
      </w:r>
      <w:r w:rsidRPr="003908D2">
        <w:rPr>
          <w:rFonts w:asciiTheme="majorHAnsi" w:hAnsiTheme="majorHAnsi" w:cstheme="majorHAnsi"/>
        </w:rPr>
        <w:t xml:space="preserve"> are practical</w:t>
      </w:r>
      <w:r w:rsidR="0015210E">
        <w:rPr>
          <w:rFonts w:asciiTheme="majorHAnsi" w:hAnsiTheme="majorHAnsi" w:cstheme="majorHAnsi"/>
        </w:rPr>
        <w:t>.  W</w:t>
      </w:r>
      <w:r w:rsidRPr="003908D2">
        <w:rPr>
          <w:rFonts w:asciiTheme="majorHAnsi" w:hAnsiTheme="majorHAnsi" w:cstheme="majorHAnsi"/>
        </w:rPr>
        <w:t xml:space="preserve">e would be happy to </w:t>
      </w:r>
      <w:r w:rsidR="00626C4C">
        <w:rPr>
          <w:rFonts w:asciiTheme="majorHAnsi" w:hAnsiTheme="majorHAnsi" w:cstheme="majorHAnsi"/>
        </w:rPr>
        <w:t>help with</w:t>
      </w:r>
      <w:r w:rsidR="00626C4C" w:rsidRPr="003908D2">
        <w:rPr>
          <w:rFonts w:asciiTheme="majorHAnsi" w:hAnsiTheme="majorHAnsi" w:cstheme="majorHAnsi"/>
        </w:rPr>
        <w:t xml:space="preserve"> </w:t>
      </w:r>
      <w:r w:rsidRPr="003908D2">
        <w:rPr>
          <w:rFonts w:asciiTheme="majorHAnsi" w:hAnsiTheme="majorHAnsi" w:cstheme="majorHAnsi"/>
        </w:rPr>
        <w:t xml:space="preserve">this. </w:t>
      </w:r>
    </w:p>
    <w:p w14:paraId="619A130E" w14:textId="77777777" w:rsidR="003908D2" w:rsidRDefault="003908D2" w:rsidP="003908D2">
      <w:pPr>
        <w:pStyle w:val="NoSpacing"/>
        <w:jc w:val="both"/>
        <w:rPr>
          <w:rFonts w:asciiTheme="majorHAnsi" w:hAnsiTheme="majorHAnsi" w:cstheme="majorHAnsi"/>
        </w:rPr>
      </w:pPr>
    </w:p>
    <w:p w14:paraId="00000023" w14:textId="36F179EB" w:rsidR="00C840EB" w:rsidRPr="003908D2" w:rsidRDefault="00626C4C" w:rsidP="003908D2">
      <w:pPr>
        <w:pStyle w:val="NoSpacing"/>
        <w:jc w:val="both"/>
        <w:rPr>
          <w:rFonts w:asciiTheme="majorHAnsi" w:hAnsiTheme="majorHAnsi" w:cstheme="majorHAnsi"/>
        </w:rPr>
      </w:pPr>
      <w:r>
        <w:rPr>
          <w:rFonts w:asciiTheme="majorHAnsi" w:hAnsiTheme="majorHAnsi" w:cstheme="majorHAnsi"/>
        </w:rPr>
        <w:lastRenderedPageBreak/>
        <w:t>We</w:t>
      </w:r>
      <w:r w:rsidR="0005102C">
        <w:rPr>
          <w:rFonts w:asciiTheme="majorHAnsi" w:hAnsiTheme="majorHAnsi" w:cstheme="majorHAnsi"/>
        </w:rPr>
        <w:t xml:space="preserve"> </w:t>
      </w:r>
      <w:r w:rsidR="00724DC9" w:rsidRPr="003908D2">
        <w:rPr>
          <w:rFonts w:asciiTheme="majorHAnsi" w:hAnsiTheme="majorHAnsi" w:cstheme="majorHAnsi"/>
        </w:rPr>
        <w:t>have received</w:t>
      </w:r>
      <w:r>
        <w:rPr>
          <w:rFonts w:asciiTheme="majorHAnsi" w:hAnsiTheme="majorHAnsi" w:cstheme="majorHAnsi"/>
        </w:rPr>
        <w:t xml:space="preserve"> feedback</w:t>
      </w:r>
      <w:r w:rsidR="00724DC9" w:rsidRPr="003908D2">
        <w:rPr>
          <w:rFonts w:asciiTheme="majorHAnsi" w:hAnsiTheme="majorHAnsi" w:cstheme="majorHAnsi"/>
        </w:rPr>
        <w:t xml:space="preserve"> from a ratings agency that in practice some billing authorities have refused to grant relief </w:t>
      </w:r>
      <w:r w:rsidR="006318F1" w:rsidRPr="003908D2">
        <w:rPr>
          <w:rFonts w:asciiTheme="majorHAnsi" w:hAnsiTheme="majorHAnsi" w:cstheme="majorHAnsi"/>
        </w:rPr>
        <w:t xml:space="preserve">to charities </w:t>
      </w:r>
      <w:r w:rsidR="00724DC9" w:rsidRPr="003908D2">
        <w:rPr>
          <w:rFonts w:asciiTheme="majorHAnsi" w:hAnsiTheme="majorHAnsi" w:cstheme="majorHAnsi"/>
        </w:rPr>
        <w:t>during the period the property is unoccupied</w:t>
      </w:r>
      <w:r>
        <w:rPr>
          <w:rFonts w:asciiTheme="majorHAnsi" w:hAnsiTheme="majorHAnsi" w:cstheme="majorHAnsi"/>
        </w:rPr>
        <w:t>. R</w:t>
      </w:r>
      <w:r w:rsidR="00724DC9" w:rsidRPr="003908D2">
        <w:rPr>
          <w:rFonts w:asciiTheme="majorHAnsi" w:hAnsiTheme="majorHAnsi" w:cstheme="majorHAnsi"/>
        </w:rPr>
        <w:t>ates</w:t>
      </w:r>
      <w:r>
        <w:rPr>
          <w:rFonts w:asciiTheme="majorHAnsi" w:hAnsiTheme="majorHAnsi" w:cstheme="majorHAnsi"/>
        </w:rPr>
        <w:t xml:space="preserve"> have been</w:t>
      </w:r>
      <w:r w:rsidR="00724DC9" w:rsidRPr="003908D2">
        <w:rPr>
          <w:rFonts w:asciiTheme="majorHAnsi" w:hAnsiTheme="majorHAnsi" w:cstheme="majorHAnsi"/>
        </w:rPr>
        <w:t xml:space="preserve"> paid </w:t>
      </w:r>
      <w:r>
        <w:rPr>
          <w:rFonts w:asciiTheme="majorHAnsi" w:hAnsiTheme="majorHAnsi" w:cstheme="majorHAnsi"/>
        </w:rPr>
        <w:t>and subsequently been</w:t>
      </w:r>
      <w:r w:rsidR="00724DC9" w:rsidRPr="003908D2">
        <w:rPr>
          <w:rFonts w:asciiTheme="majorHAnsi" w:hAnsiTheme="majorHAnsi" w:cstheme="majorHAnsi"/>
        </w:rPr>
        <w:t xml:space="preserve"> refunded.</w:t>
      </w:r>
      <w:r w:rsidR="00B42AAB">
        <w:rPr>
          <w:rFonts w:asciiTheme="majorHAnsi" w:hAnsiTheme="majorHAnsi" w:cstheme="majorHAnsi"/>
        </w:rPr>
        <w:t xml:space="preserve"> </w:t>
      </w:r>
      <w:r w:rsidR="00724DC9" w:rsidRPr="003908D2">
        <w:rPr>
          <w:rFonts w:asciiTheme="majorHAnsi" w:hAnsiTheme="majorHAnsi" w:cstheme="majorHAnsi"/>
        </w:rPr>
        <w:t xml:space="preserve"> This is </w:t>
      </w:r>
      <w:r w:rsidR="003908D2" w:rsidRPr="003908D2">
        <w:rPr>
          <w:rFonts w:asciiTheme="majorHAnsi" w:hAnsiTheme="majorHAnsi" w:cstheme="majorHAnsi"/>
        </w:rPr>
        <w:t xml:space="preserve">not the approach intended by the legislation </w:t>
      </w:r>
      <w:r w:rsidR="00724DC9" w:rsidRPr="003908D2">
        <w:rPr>
          <w:rFonts w:asciiTheme="majorHAnsi" w:hAnsiTheme="majorHAnsi" w:cstheme="majorHAnsi"/>
        </w:rPr>
        <w:t xml:space="preserve">and </w:t>
      </w:r>
      <w:r w:rsidR="003028BC">
        <w:rPr>
          <w:rFonts w:asciiTheme="majorHAnsi" w:hAnsiTheme="majorHAnsi" w:cstheme="majorHAnsi"/>
        </w:rPr>
        <w:t>reflects</w:t>
      </w:r>
      <w:r w:rsidR="00724DC9" w:rsidRPr="003908D2">
        <w:rPr>
          <w:rFonts w:asciiTheme="majorHAnsi" w:hAnsiTheme="majorHAnsi" w:cstheme="majorHAnsi"/>
        </w:rPr>
        <w:t xml:space="preserve"> concerns about correct application of the rules - a clearer system of charity declaration could help to address this situation and provide important cashflow relief for charities undertaking large development projects.</w:t>
      </w:r>
    </w:p>
    <w:p w14:paraId="36CF27AB" w14:textId="77777777" w:rsidR="003908D2" w:rsidRDefault="003908D2" w:rsidP="003908D2">
      <w:pPr>
        <w:pStyle w:val="NoSpacing"/>
        <w:jc w:val="both"/>
        <w:rPr>
          <w:rFonts w:asciiTheme="majorHAnsi" w:hAnsiTheme="majorHAnsi" w:cstheme="majorHAnsi"/>
        </w:rPr>
      </w:pPr>
    </w:p>
    <w:p w14:paraId="00000024" w14:textId="719794C5" w:rsidR="00C840EB" w:rsidRPr="003908D2" w:rsidRDefault="003028BC" w:rsidP="003908D2">
      <w:pPr>
        <w:pStyle w:val="NoSpacing"/>
        <w:jc w:val="both"/>
        <w:rPr>
          <w:rFonts w:asciiTheme="majorHAnsi" w:hAnsiTheme="majorHAnsi" w:cstheme="majorHAnsi"/>
        </w:rPr>
      </w:pPr>
      <w:r>
        <w:rPr>
          <w:rFonts w:asciiTheme="majorHAnsi" w:hAnsiTheme="majorHAnsi" w:cstheme="majorHAnsi"/>
        </w:rPr>
        <w:t>We</w:t>
      </w:r>
      <w:r w:rsidR="00724DC9" w:rsidRPr="003908D2">
        <w:rPr>
          <w:rFonts w:asciiTheme="majorHAnsi" w:hAnsiTheme="majorHAnsi" w:cstheme="majorHAnsi"/>
        </w:rPr>
        <w:t xml:space="preserve"> caution against the removal of this exemption</w:t>
      </w:r>
      <w:r>
        <w:rPr>
          <w:rFonts w:asciiTheme="majorHAnsi" w:hAnsiTheme="majorHAnsi" w:cstheme="majorHAnsi"/>
        </w:rPr>
        <w:t xml:space="preserve"> and</w:t>
      </w:r>
      <w:r w:rsidR="00724DC9" w:rsidRPr="003908D2">
        <w:rPr>
          <w:rFonts w:asciiTheme="majorHAnsi" w:hAnsiTheme="majorHAnsi" w:cstheme="majorHAnsi"/>
        </w:rPr>
        <w:t xml:space="preserve"> believe that steps c</w:t>
      </w:r>
      <w:r>
        <w:rPr>
          <w:rFonts w:asciiTheme="majorHAnsi" w:hAnsiTheme="majorHAnsi" w:cstheme="majorHAnsi"/>
        </w:rPr>
        <w:t>an</w:t>
      </w:r>
      <w:r w:rsidR="00724DC9" w:rsidRPr="003908D2">
        <w:rPr>
          <w:rFonts w:asciiTheme="majorHAnsi" w:hAnsiTheme="majorHAnsi" w:cstheme="majorHAnsi"/>
        </w:rPr>
        <w:t xml:space="preserve"> be taken which</w:t>
      </w:r>
      <w:r w:rsidR="00C7202C">
        <w:rPr>
          <w:rFonts w:asciiTheme="majorHAnsi" w:hAnsiTheme="majorHAnsi" w:cstheme="majorHAnsi"/>
        </w:rPr>
        <w:t xml:space="preserve"> </w:t>
      </w:r>
      <w:r w:rsidR="0089447D">
        <w:rPr>
          <w:rFonts w:asciiTheme="majorHAnsi" w:hAnsiTheme="majorHAnsi" w:cstheme="majorHAnsi"/>
        </w:rPr>
        <w:t xml:space="preserve">will </w:t>
      </w:r>
      <w:r w:rsidR="00854C4C">
        <w:rPr>
          <w:rFonts w:asciiTheme="majorHAnsi" w:hAnsiTheme="majorHAnsi" w:cstheme="majorHAnsi"/>
        </w:rPr>
        <w:t>help ensure that</w:t>
      </w:r>
      <w:r w:rsidR="00724DC9" w:rsidRPr="003908D2">
        <w:rPr>
          <w:rFonts w:asciiTheme="majorHAnsi" w:hAnsiTheme="majorHAnsi" w:cstheme="majorHAnsi"/>
        </w:rPr>
        <w:t xml:space="preserve"> </w:t>
      </w:r>
      <w:r w:rsidR="00854C4C">
        <w:rPr>
          <w:rFonts w:asciiTheme="majorHAnsi" w:hAnsiTheme="majorHAnsi" w:cstheme="majorHAnsi"/>
        </w:rPr>
        <w:t>this relief is not abused</w:t>
      </w:r>
      <w:r w:rsidR="00724DC9" w:rsidRPr="003908D2">
        <w:rPr>
          <w:rFonts w:asciiTheme="majorHAnsi" w:hAnsiTheme="majorHAnsi" w:cstheme="majorHAnsi"/>
        </w:rPr>
        <w:t>.</w:t>
      </w:r>
    </w:p>
    <w:p w14:paraId="3C33E9D6" w14:textId="77777777" w:rsidR="003908D2" w:rsidRDefault="003908D2" w:rsidP="003908D2">
      <w:pPr>
        <w:pStyle w:val="NoSpacing"/>
        <w:jc w:val="both"/>
        <w:rPr>
          <w:rFonts w:asciiTheme="majorHAnsi" w:hAnsiTheme="majorHAnsi" w:cstheme="majorHAnsi"/>
          <w:b/>
          <w:bCs/>
          <w:sz w:val="24"/>
          <w:szCs w:val="24"/>
        </w:rPr>
      </w:pPr>
    </w:p>
    <w:p w14:paraId="00000026" w14:textId="7B6CF0D5" w:rsidR="00C840EB" w:rsidRPr="003908D2" w:rsidRDefault="00724DC9" w:rsidP="003908D2">
      <w:pPr>
        <w:pStyle w:val="NoSpacing"/>
        <w:jc w:val="both"/>
        <w:rPr>
          <w:rFonts w:asciiTheme="majorHAnsi" w:hAnsiTheme="majorHAnsi" w:cstheme="majorHAnsi"/>
          <w:b/>
          <w:bCs/>
          <w:sz w:val="24"/>
          <w:szCs w:val="24"/>
        </w:rPr>
      </w:pPr>
      <w:r w:rsidRPr="003908D2">
        <w:rPr>
          <w:rFonts w:asciiTheme="majorHAnsi" w:hAnsiTheme="majorHAnsi" w:cstheme="majorHAnsi"/>
          <w:b/>
          <w:bCs/>
          <w:sz w:val="24"/>
          <w:szCs w:val="24"/>
        </w:rPr>
        <w:t xml:space="preserve">Improving </w:t>
      </w:r>
      <w:r w:rsidR="00A734D7">
        <w:rPr>
          <w:rFonts w:asciiTheme="majorHAnsi" w:hAnsiTheme="majorHAnsi" w:cstheme="majorHAnsi"/>
          <w:b/>
          <w:bCs/>
          <w:sz w:val="24"/>
          <w:szCs w:val="24"/>
        </w:rPr>
        <w:t>understanding</w:t>
      </w:r>
      <w:r w:rsidRPr="003908D2">
        <w:rPr>
          <w:rFonts w:asciiTheme="majorHAnsi" w:hAnsiTheme="majorHAnsi" w:cstheme="majorHAnsi"/>
          <w:b/>
          <w:bCs/>
          <w:sz w:val="24"/>
          <w:szCs w:val="24"/>
        </w:rPr>
        <w:t xml:space="preserve"> about charitable business rates relief to reduce errors and fraud</w:t>
      </w:r>
    </w:p>
    <w:p w14:paraId="40D573D2" w14:textId="77777777" w:rsidR="003908D2" w:rsidRDefault="003908D2" w:rsidP="003908D2">
      <w:pPr>
        <w:pStyle w:val="NoSpacing"/>
        <w:jc w:val="both"/>
        <w:rPr>
          <w:rFonts w:asciiTheme="majorHAnsi" w:hAnsiTheme="majorHAnsi" w:cstheme="majorHAnsi"/>
        </w:rPr>
      </w:pPr>
    </w:p>
    <w:p w14:paraId="00000027" w14:textId="38B1BB12" w:rsidR="00C840EB" w:rsidRDefault="00CB69D0" w:rsidP="003908D2">
      <w:pPr>
        <w:pStyle w:val="NoSpacing"/>
        <w:jc w:val="both"/>
        <w:rPr>
          <w:rFonts w:asciiTheme="majorHAnsi" w:hAnsiTheme="majorHAnsi" w:cstheme="majorHAnsi"/>
        </w:rPr>
      </w:pPr>
      <w:r>
        <w:rPr>
          <w:rFonts w:asciiTheme="majorHAnsi" w:hAnsiTheme="majorHAnsi" w:cstheme="majorHAnsi"/>
        </w:rPr>
        <w:t>I</w:t>
      </w:r>
      <w:r w:rsidR="00724DC9" w:rsidRPr="003908D2">
        <w:rPr>
          <w:rFonts w:asciiTheme="majorHAnsi" w:hAnsiTheme="majorHAnsi" w:cstheme="majorHAnsi"/>
        </w:rPr>
        <w:t xml:space="preserve">n our experience most errors in claims for rates relief result from a lack of understanding – honest mistakes rather than attempts </w:t>
      </w:r>
      <w:r>
        <w:rPr>
          <w:rFonts w:asciiTheme="majorHAnsi" w:hAnsiTheme="majorHAnsi" w:cstheme="majorHAnsi"/>
        </w:rPr>
        <w:t>of</w:t>
      </w:r>
      <w:r w:rsidR="00724DC9" w:rsidRPr="003908D2">
        <w:rPr>
          <w:rFonts w:asciiTheme="majorHAnsi" w:hAnsiTheme="majorHAnsi" w:cstheme="majorHAnsi"/>
        </w:rPr>
        <w:t xml:space="preserve"> abuse.</w:t>
      </w:r>
      <w:r w:rsidR="00D36F0D">
        <w:rPr>
          <w:rFonts w:asciiTheme="majorHAnsi" w:hAnsiTheme="majorHAnsi" w:cstheme="majorHAnsi"/>
        </w:rPr>
        <w:t xml:space="preserve"> </w:t>
      </w:r>
      <w:r w:rsidR="00724DC9" w:rsidRPr="003908D2">
        <w:rPr>
          <w:rFonts w:asciiTheme="majorHAnsi" w:hAnsiTheme="majorHAnsi" w:cstheme="majorHAnsi"/>
        </w:rPr>
        <w:t>It is important that the “wholly or mainly” charitable purposes test is well understood. The Charity Commission and the</w:t>
      </w:r>
      <w:r w:rsidR="006E66BD">
        <w:rPr>
          <w:rFonts w:asciiTheme="majorHAnsi" w:hAnsiTheme="majorHAnsi" w:cstheme="majorHAnsi"/>
        </w:rPr>
        <w:t xml:space="preserve"> charity</w:t>
      </w:r>
      <w:r w:rsidR="00724DC9" w:rsidRPr="003908D2">
        <w:rPr>
          <w:rFonts w:asciiTheme="majorHAnsi" w:hAnsiTheme="majorHAnsi" w:cstheme="majorHAnsi"/>
        </w:rPr>
        <w:t xml:space="preserve"> sector have an important role in </w:t>
      </w:r>
      <w:r w:rsidR="00A734D7">
        <w:rPr>
          <w:rFonts w:asciiTheme="majorHAnsi" w:hAnsiTheme="majorHAnsi" w:cstheme="majorHAnsi"/>
        </w:rPr>
        <w:t>helping</w:t>
      </w:r>
      <w:r w:rsidR="00724DC9" w:rsidRPr="003908D2">
        <w:rPr>
          <w:rFonts w:asciiTheme="majorHAnsi" w:hAnsiTheme="majorHAnsi" w:cstheme="majorHAnsi"/>
        </w:rPr>
        <w:t xml:space="preserve"> charities ensur</w:t>
      </w:r>
      <w:r w:rsidR="00A734D7">
        <w:rPr>
          <w:rFonts w:asciiTheme="majorHAnsi" w:hAnsiTheme="majorHAnsi" w:cstheme="majorHAnsi"/>
        </w:rPr>
        <w:t>e</w:t>
      </w:r>
      <w:r w:rsidR="00724DC9" w:rsidRPr="003908D2">
        <w:rPr>
          <w:rFonts w:asciiTheme="majorHAnsi" w:hAnsiTheme="majorHAnsi" w:cstheme="majorHAnsi"/>
        </w:rPr>
        <w:t xml:space="preserve"> that third parties</w:t>
      </w:r>
      <w:r w:rsidR="004915D6">
        <w:rPr>
          <w:rFonts w:asciiTheme="majorHAnsi" w:hAnsiTheme="majorHAnsi" w:cstheme="majorHAnsi"/>
        </w:rPr>
        <w:t xml:space="preserve"> </w:t>
      </w:r>
      <w:r w:rsidR="00F52CD7">
        <w:rPr>
          <w:rFonts w:asciiTheme="majorHAnsi" w:hAnsiTheme="majorHAnsi" w:cstheme="majorHAnsi"/>
        </w:rPr>
        <w:t>can</w:t>
      </w:r>
      <w:r w:rsidR="00B15167">
        <w:rPr>
          <w:rFonts w:asciiTheme="majorHAnsi" w:hAnsiTheme="majorHAnsi" w:cstheme="majorHAnsi"/>
        </w:rPr>
        <w:t>not</w:t>
      </w:r>
      <w:r w:rsidR="00F52CD7">
        <w:rPr>
          <w:rFonts w:asciiTheme="majorHAnsi" w:hAnsiTheme="majorHAnsi" w:cstheme="majorHAnsi"/>
        </w:rPr>
        <w:t xml:space="preserve"> abuse this relief</w:t>
      </w:r>
      <w:r w:rsidR="00724DC9" w:rsidRPr="003908D2">
        <w:rPr>
          <w:rFonts w:asciiTheme="majorHAnsi" w:hAnsiTheme="majorHAnsi" w:cstheme="majorHAnsi"/>
        </w:rPr>
        <w:t xml:space="preserve">. </w:t>
      </w:r>
      <w:r w:rsidR="00B15167">
        <w:rPr>
          <w:rFonts w:asciiTheme="majorHAnsi" w:hAnsiTheme="majorHAnsi" w:cstheme="majorHAnsi"/>
        </w:rPr>
        <w:t>C</w:t>
      </w:r>
      <w:r w:rsidR="00724DC9" w:rsidRPr="003908D2">
        <w:rPr>
          <w:rFonts w:asciiTheme="majorHAnsi" w:hAnsiTheme="majorHAnsi" w:cstheme="majorHAnsi"/>
        </w:rPr>
        <w:t xml:space="preserve">harity sector bodies </w:t>
      </w:r>
      <w:r w:rsidR="00B15167">
        <w:rPr>
          <w:rFonts w:asciiTheme="majorHAnsi" w:hAnsiTheme="majorHAnsi" w:cstheme="majorHAnsi"/>
        </w:rPr>
        <w:t>are</w:t>
      </w:r>
      <w:r w:rsidR="00B15167" w:rsidRPr="003908D2">
        <w:rPr>
          <w:rFonts w:asciiTheme="majorHAnsi" w:hAnsiTheme="majorHAnsi" w:cstheme="majorHAnsi"/>
        </w:rPr>
        <w:t xml:space="preserve"> </w:t>
      </w:r>
      <w:r w:rsidR="00724DC9" w:rsidRPr="003908D2">
        <w:rPr>
          <w:rFonts w:asciiTheme="majorHAnsi" w:hAnsiTheme="majorHAnsi" w:cstheme="majorHAnsi"/>
        </w:rPr>
        <w:t xml:space="preserve">committed to increasing </w:t>
      </w:r>
      <w:r w:rsidR="0054351D">
        <w:rPr>
          <w:rFonts w:asciiTheme="majorHAnsi" w:hAnsiTheme="majorHAnsi" w:cstheme="majorHAnsi"/>
        </w:rPr>
        <w:t>awareness</w:t>
      </w:r>
      <w:r w:rsidR="0054351D" w:rsidRPr="003908D2">
        <w:rPr>
          <w:rFonts w:asciiTheme="majorHAnsi" w:hAnsiTheme="majorHAnsi" w:cstheme="majorHAnsi"/>
        </w:rPr>
        <w:t xml:space="preserve"> </w:t>
      </w:r>
      <w:r w:rsidR="00724DC9" w:rsidRPr="003908D2">
        <w:rPr>
          <w:rFonts w:asciiTheme="majorHAnsi" w:hAnsiTheme="majorHAnsi" w:cstheme="majorHAnsi"/>
        </w:rPr>
        <w:t xml:space="preserve">of </w:t>
      </w:r>
      <w:r w:rsidR="0054351D">
        <w:rPr>
          <w:rFonts w:asciiTheme="majorHAnsi" w:hAnsiTheme="majorHAnsi" w:cstheme="majorHAnsi"/>
        </w:rPr>
        <w:t>this</w:t>
      </w:r>
      <w:r w:rsidR="00724DC9" w:rsidRPr="003908D2">
        <w:rPr>
          <w:rFonts w:asciiTheme="majorHAnsi" w:hAnsiTheme="majorHAnsi" w:cstheme="majorHAnsi"/>
        </w:rPr>
        <w:t xml:space="preserve"> and the Charity Commission could</w:t>
      </w:r>
      <w:r w:rsidR="001C476B">
        <w:rPr>
          <w:rFonts w:asciiTheme="majorHAnsi" w:hAnsiTheme="majorHAnsi" w:cstheme="majorHAnsi"/>
        </w:rPr>
        <w:t xml:space="preserve"> </w:t>
      </w:r>
      <w:r w:rsidR="00724DC9" w:rsidRPr="003908D2">
        <w:rPr>
          <w:rFonts w:asciiTheme="majorHAnsi" w:hAnsiTheme="majorHAnsi" w:cstheme="majorHAnsi"/>
        </w:rPr>
        <w:t xml:space="preserve">be asked to </w:t>
      </w:r>
      <w:r w:rsidR="001C476B">
        <w:rPr>
          <w:rFonts w:asciiTheme="majorHAnsi" w:hAnsiTheme="majorHAnsi" w:cstheme="majorHAnsi"/>
        </w:rPr>
        <w:t xml:space="preserve">give more prominence to </w:t>
      </w:r>
      <w:r w:rsidR="00724DC9" w:rsidRPr="003908D2">
        <w:rPr>
          <w:rFonts w:asciiTheme="majorHAnsi" w:hAnsiTheme="majorHAnsi" w:cstheme="majorHAnsi"/>
        </w:rPr>
        <w:t xml:space="preserve">its guidance for trustees. This </w:t>
      </w:r>
      <w:r w:rsidR="001C476B">
        <w:rPr>
          <w:rFonts w:asciiTheme="majorHAnsi" w:hAnsiTheme="majorHAnsi" w:cstheme="majorHAnsi"/>
        </w:rPr>
        <w:t>could</w:t>
      </w:r>
      <w:r w:rsidR="001C476B" w:rsidRPr="003908D2">
        <w:rPr>
          <w:rFonts w:asciiTheme="majorHAnsi" w:hAnsiTheme="majorHAnsi" w:cstheme="majorHAnsi"/>
        </w:rPr>
        <w:t xml:space="preserve"> </w:t>
      </w:r>
      <w:r w:rsidR="00724DC9" w:rsidRPr="003908D2">
        <w:rPr>
          <w:rFonts w:asciiTheme="majorHAnsi" w:hAnsiTheme="majorHAnsi" w:cstheme="majorHAnsi"/>
        </w:rPr>
        <w:t>include a recommendation to take professional advice where necessary</w:t>
      </w:r>
      <w:r w:rsidR="001C476B">
        <w:rPr>
          <w:rFonts w:asciiTheme="majorHAnsi" w:hAnsiTheme="majorHAnsi" w:cstheme="majorHAnsi"/>
        </w:rPr>
        <w:t>.</w:t>
      </w:r>
    </w:p>
    <w:p w14:paraId="30032857" w14:textId="77777777" w:rsidR="003908D2" w:rsidRPr="003908D2" w:rsidRDefault="003908D2" w:rsidP="003908D2">
      <w:pPr>
        <w:pStyle w:val="NoSpacing"/>
        <w:jc w:val="both"/>
        <w:rPr>
          <w:rFonts w:asciiTheme="majorHAnsi" w:hAnsiTheme="majorHAnsi" w:cstheme="majorHAnsi"/>
        </w:rPr>
      </w:pPr>
    </w:p>
    <w:p w14:paraId="44C634C1" w14:textId="1516CBD2" w:rsidR="005E0F65" w:rsidRDefault="005E0F65" w:rsidP="003908D2">
      <w:pPr>
        <w:pStyle w:val="NoSpacing"/>
        <w:jc w:val="both"/>
        <w:rPr>
          <w:rFonts w:asciiTheme="majorHAnsi" w:hAnsiTheme="majorHAnsi" w:cstheme="majorHAnsi"/>
        </w:rPr>
      </w:pPr>
      <w:r>
        <w:rPr>
          <w:rFonts w:asciiTheme="majorHAnsi" w:hAnsiTheme="majorHAnsi" w:cstheme="majorHAnsi"/>
        </w:rPr>
        <w:t>T</w:t>
      </w:r>
      <w:r w:rsidR="00724DC9" w:rsidRPr="003908D2">
        <w:rPr>
          <w:rFonts w:asciiTheme="majorHAnsi" w:hAnsiTheme="majorHAnsi" w:cstheme="majorHAnsi"/>
        </w:rPr>
        <w:t>here have been isolated incidents of fraud relating to charitable rates relief which have been addressed by the courts</w:t>
      </w:r>
      <w:r>
        <w:rPr>
          <w:rFonts w:asciiTheme="majorHAnsi" w:hAnsiTheme="majorHAnsi" w:cstheme="majorHAnsi"/>
        </w:rPr>
        <w:t>.  These have been</w:t>
      </w:r>
      <w:r w:rsidR="00724DC9" w:rsidRPr="003908D2">
        <w:rPr>
          <w:rFonts w:asciiTheme="majorHAnsi" w:hAnsiTheme="majorHAnsi" w:cstheme="majorHAnsi"/>
        </w:rPr>
        <w:t xml:space="preserve"> follow</w:t>
      </w:r>
      <w:r>
        <w:rPr>
          <w:rFonts w:asciiTheme="majorHAnsi" w:hAnsiTheme="majorHAnsi" w:cstheme="majorHAnsi"/>
        </w:rPr>
        <w:t>ed</w:t>
      </w:r>
      <w:r w:rsidR="00724DC9" w:rsidRPr="003908D2">
        <w:rPr>
          <w:rFonts w:asciiTheme="majorHAnsi" w:hAnsiTheme="majorHAnsi" w:cstheme="majorHAnsi"/>
        </w:rPr>
        <w:t xml:space="preserve">-up by the Charity Commission where the trustees have been at fault. The recent High Court case involving the company </w:t>
      </w:r>
      <w:r w:rsidR="00724DC9" w:rsidRPr="003908D2">
        <w:rPr>
          <w:rFonts w:asciiTheme="majorHAnsi" w:hAnsiTheme="majorHAnsi" w:cstheme="majorHAnsi"/>
          <w:highlight w:val="white"/>
        </w:rPr>
        <w:t xml:space="preserve">Preservation and Promotion of the Arts (PAPOA) is a clear example of </w:t>
      </w:r>
      <w:r>
        <w:rPr>
          <w:rFonts w:asciiTheme="majorHAnsi" w:hAnsiTheme="majorHAnsi" w:cstheme="majorHAnsi"/>
          <w:highlight w:val="white"/>
        </w:rPr>
        <w:t>incorrect</w:t>
      </w:r>
      <w:r w:rsidRPr="003908D2">
        <w:rPr>
          <w:rFonts w:asciiTheme="majorHAnsi" w:hAnsiTheme="majorHAnsi" w:cstheme="majorHAnsi"/>
          <w:highlight w:val="white"/>
        </w:rPr>
        <w:t xml:space="preserve"> </w:t>
      </w:r>
      <w:r w:rsidR="00724DC9" w:rsidRPr="003908D2">
        <w:rPr>
          <w:rFonts w:asciiTheme="majorHAnsi" w:hAnsiTheme="majorHAnsi" w:cstheme="majorHAnsi"/>
          <w:highlight w:val="white"/>
        </w:rPr>
        <w:t xml:space="preserve">application </w:t>
      </w:r>
      <w:r>
        <w:rPr>
          <w:rFonts w:asciiTheme="majorHAnsi" w:hAnsiTheme="majorHAnsi" w:cstheme="majorHAnsi"/>
          <w:highlight w:val="white"/>
        </w:rPr>
        <w:t>for</w:t>
      </w:r>
      <w:r w:rsidR="00724DC9" w:rsidRPr="003908D2">
        <w:rPr>
          <w:rFonts w:asciiTheme="majorHAnsi" w:hAnsiTheme="majorHAnsi" w:cstheme="majorHAnsi"/>
          <w:highlight w:val="white"/>
        </w:rPr>
        <w:t xml:space="preserve"> charitable rates relief</w:t>
      </w:r>
      <w:r>
        <w:rPr>
          <w:rFonts w:asciiTheme="majorHAnsi" w:hAnsiTheme="majorHAnsi" w:cstheme="majorHAnsi"/>
          <w:highlight w:val="white"/>
        </w:rPr>
        <w:t>.</w:t>
      </w:r>
      <w:r w:rsidR="00B42AAB">
        <w:rPr>
          <w:rFonts w:asciiTheme="majorHAnsi" w:hAnsiTheme="majorHAnsi" w:cstheme="majorHAnsi"/>
          <w:highlight w:val="white"/>
        </w:rPr>
        <w:t xml:space="preserve"> </w:t>
      </w:r>
      <w:r w:rsidR="00724DC9" w:rsidRPr="003908D2">
        <w:rPr>
          <w:rFonts w:asciiTheme="majorHAnsi" w:hAnsiTheme="majorHAnsi" w:cstheme="majorHAnsi"/>
          <w:highlight w:val="white"/>
        </w:rPr>
        <w:t xml:space="preserve"> </w:t>
      </w:r>
      <w:r w:rsidR="00724DC9" w:rsidRPr="003908D2">
        <w:rPr>
          <w:rFonts w:asciiTheme="majorHAnsi" w:hAnsiTheme="majorHAnsi" w:cstheme="majorHAnsi"/>
        </w:rPr>
        <w:t>PAPOA is not a registered charity and has not applied for charitable status. This raise</w:t>
      </w:r>
      <w:r>
        <w:rPr>
          <w:rFonts w:asciiTheme="majorHAnsi" w:hAnsiTheme="majorHAnsi" w:cstheme="majorHAnsi"/>
        </w:rPr>
        <w:t>s</w:t>
      </w:r>
      <w:r w:rsidR="00724DC9" w:rsidRPr="003908D2">
        <w:rPr>
          <w:rFonts w:asciiTheme="majorHAnsi" w:hAnsiTheme="majorHAnsi" w:cstheme="majorHAnsi"/>
        </w:rPr>
        <w:t xml:space="preserve"> questions about the due diligence undertaken by local authorities</w:t>
      </w:r>
      <w:r w:rsidR="00B808C1">
        <w:rPr>
          <w:rFonts w:asciiTheme="majorHAnsi" w:hAnsiTheme="majorHAnsi" w:cstheme="majorHAnsi"/>
        </w:rPr>
        <w:t>.</w:t>
      </w:r>
      <w:r w:rsidR="00724DC9" w:rsidRPr="003908D2">
        <w:rPr>
          <w:rFonts w:asciiTheme="majorHAnsi" w:hAnsiTheme="majorHAnsi" w:cstheme="majorHAnsi"/>
        </w:rPr>
        <w:t xml:space="preserve"> </w:t>
      </w:r>
    </w:p>
    <w:p w14:paraId="05E923BE" w14:textId="77777777" w:rsidR="00B808C1" w:rsidRDefault="00B808C1" w:rsidP="003908D2">
      <w:pPr>
        <w:pStyle w:val="NoSpacing"/>
        <w:jc w:val="both"/>
        <w:rPr>
          <w:rFonts w:asciiTheme="majorHAnsi" w:hAnsiTheme="majorHAnsi" w:cstheme="majorHAnsi"/>
        </w:rPr>
      </w:pPr>
    </w:p>
    <w:p w14:paraId="00000028" w14:textId="5F334B72" w:rsidR="00C840EB" w:rsidRPr="003908D2"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As we will make clear in our response to Part 2 of the Review, there would be significant benefits </w:t>
      </w:r>
      <w:r w:rsidR="00AB7663">
        <w:rPr>
          <w:rFonts w:asciiTheme="majorHAnsi" w:hAnsiTheme="majorHAnsi" w:cstheme="majorHAnsi"/>
        </w:rPr>
        <w:t>in</w:t>
      </w:r>
      <w:r w:rsidRPr="003908D2">
        <w:rPr>
          <w:rFonts w:asciiTheme="majorHAnsi" w:hAnsiTheme="majorHAnsi" w:cstheme="majorHAnsi"/>
        </w:rPr>
        <w:t xml:space="preserve"> </w:t>
      </w:r>
      <w:proofErr w:type="spellStart"/>
      <w:r w:rsidRPr="003908D2">
        <w:rPr>
          <w:rFonts w:asciiTheme="majorHAnsi" w:hAnsiTheme="majorHAnsi" w:cstheme="majorHAnsi"/>
        </w:rPr>
        <w:t>standardis</w:t>
      </w:r>
      <w:r w:rsidR="00383D57">
        <w:rPr>
          <w:rFonts w:asciiTheme="majorHAnsi" w:hAnsiTheme="majorHAnsi" w:cstheme="majorHAnsi"/>
        </w:rPr>
        <w:t>ing</w:t>
      </w:r>
      <w:proofErr w:type="spellEnd"/>
      <w:r w:rsidR="00383D57">
        <w:rPr>
          <w:rFonts w:asciiTheme="majorHAnsi" w:hAnsiTheme="majorHAnsi" w:cstheme="majorHAnsi"/>
        </w:rPr>
        <w:t xml:space="preserve"> </w:t>
      </w:r>
      <w:r w:rsidRPr="003908D2">
        <w:rPr>
          <w:rFonts w:asciiTheme="majorHAnsi" w:hAnsiTheme="majorHAnsi" w:cstheme="majorHAnsi"/>
        </w:rPr>
        <w:t>applications for mandatory and discretionary reliefs</w:t>
      </w:r>
      <w:r w:rsidR="00383D57">
        <w:rPr>
          <w:rFonts w:asciiTheme="majorHAnsi" w:hAnsiTheme="majorHAnsi" w:cstheme="majorHAnsi"/>
        </w:rPr>
        <w:t>.</w:t>
      </w:r>
    </w:p>
    <w:p w14:paraId="2856DBD0" w14:textId="77777777" w:rsidR="003908D2" w:rsidRDefault="003908D2" w:rsidP="003908D2">
      <w:pPr>
        <w:pStyle w:val="NoSpacing"/>
        <w:jc w:val="both"/>
        <w:rPr>
          <w:rFonts w:asciiTheme="majorHAnsi" w:hAnsiTheme="majorHAnsi" w:cstheme="majorHAnsi"/>
        </w:rPr>
      </w:pPr>
    </w:p>
    <w:p w14:paraId="398BF2E5" w14:textId="2A944894" w:rsidR="00652B67"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Commenting on this case, the Charity Commission </w:t>
      </w:r>
      <w:hyperlink r:id="rId11">
        <w:r w:rsidRPr="003908D2">
          <w:rPr>
            <w:rFonts w:asciiTheme="majorHAnsi" w:hAnsiTheme="majorHAnsi" w:cstheme="majorHAnsi"/>
            <w:color w:val="1155CC"/>
            <w:u w:val="single"/>
          </w:rPr>
          <w:t>stated</w:t>
        </w:r>
      </w:hyperlink>
      <w:r w:rsidRPr="003908D2">
        <w:rPr>
          <w:rFonts w:asciiTheme="majorHAnsi" w:hAnsiTheme="majorHAnsi" w:cstheme="majorHAnsi"/>
        </w:rPr>
        <w:t xml:space="preserve">: </w:t>
      </w:r>
      <w:r w:rsidRPr="003908D2">
        <w:rPr>
          <w:rFonts w:asciiTheme="majorHAnsi" w:hAnsiTheme="majorHAnsi" w:cstheme="majorHAnsi"/>
          <w:i/>
        </w:rPr>
        <w:t>“To protect their charity from this type of misuse, trustees should guard their charity’s independence fiercely and be assured that any tenancy agreement they enter into is for the exclusive benefit of their charity and will further their charity’s purposes and is in its best interests.”</w:t>
      </w:r>
      <w:r w:rsidRPr="003908D2">
        <w:rPr>
          <w:rFonts w:asciiTheme="majorHAnsi" w:hAnsiTheme="majorHAnsi" w:cstheme="majorHAnsi"/>
        </w:rPr>
        <w:t xml:space="preserve"> We agree and will explor</w:t>
      </w:r>
      <w:r w:rsidR="00560BBF">
        <w:rPr>
          <w:rFonts w:asciiTheme="majorHAnsi" w:hAnsiTheme="majorHAnsi" w:cstheme="majorHAnsi"/>
        </w:rPr>
        <w:t>e</w:t>
      </w:r>
      <w:r w:rsidRPr="003908D2">
        <w:rPr>
          <w:rFonts w:asciiTheme="majorHAnsi" w:hAnsiTheme="majorHAnsi" w:cstheme="majorHAnsi"/>
        </w:rPr>
        <w:t xml:space="preserve"> ways to work with charities and local authorities so it is clear who should be eligible for charitable rates relief. </w:t>
      </w:r>
      <w:r w:rsidR="00560BBF">
        <w:rPr>
          <w:rFonts w:asciiTheme="majorHAnsi" w:hAnsiTheme="majorHAnsi" w:cstheme="majorHAnsi"/>
        </w:rPr>
        <w:t>T</w:t>
      </w:r>
      <w:r w:rsidRPr="003908D2">
        <w:rPr>
          <w:rFonts w:asciiTheme="majorHAnsi" w:hAnsiTheme="majorHAnsi" w:cstheme="majorHAnsi"/>
        </w:rPr>
        <w:t>he irresponsible actions of a</w:t>
      </w:r>
      <w:r w:rsidR="00125B9D">
        <w:rPr>
          <w:rFonts w:asciiTheme="majorHAnsi" w:hAnsiTheme="majorHAnsi" w:cstheme="majorHAnsi"/>
        </w:rPr>
        <w:t xml:space="preserve">n entity </w:t>
      </w:r>
      <w:r w:rsidR="003908D2" w:rsidRPr="003908D2">
        <w:rPr>
          <w:rFonts w:asciiTheme="majorHAnsi" w:hAnsiTheme="majorHAnsi" w:cstheme="majorHAnsi"/>
        </w:rPr>
        <w:t>masquerading as a charity</w:t>
      </w:r>
      <w:r w:rsidRPr="003908D2">
        <w:rPr>
          <w:rFonts w:asciiTheme="majorHAnsi" w:hAnsiTheme="majorHAnsi" w:cstheme="majorHAnsi"/>
        </w:rPr>
        <w:t xml:space="preserve"> </w:t>
      </w:r>
      <w:r w:rsidR="00560BBF">
        <w:rPr>
          <w:rFonts w:asciiTheme="majorHAnsi" w:hAnsiTheme="majorHAnsi" w:cstheme="majorHAnsi"/>
        </w:rPr>
        <w:t xml:space="preserve">does not reflect </w:t>
      </w:r>
      <w:r w:rsidRPr="003908D2">
        <w:rPr>
          <w:rFonts w:asciiTheme="majorHAnsi" w:hAnsiTheme="majorHAnsi" w:cstheme="majorHAnsi"/>
        </w:rPr>
        <w:t xml:space="preserve">genuine charity practice. </w:t>
      </w:r>
    </w:p>
    <w:p w14:paraId="3EDE0B6B" w14:textId="77777777" w:rsidR="00652B67" w:rsidRDefault="00652B67" w:rsidP="003908D2">
      <w:pPr>
        <w:pStyle w:val="NoSpacing"/>
        <w:jc w:val="both"/>
        <w:rPr>
          <w:rFonts w:asciiTheme="majorHAnsi" w:hAnsiTheme="majorHAnsi" w:cstheme="majorHAnsi"/>
        </w:rPr>
      </w:pPr>
    </w:p>
    <w:p w14:paraId="00000029" w14:textId="2695E5F9" w:rsidR="00C840EB" w:rsidRDefault="00724DC9" w:rsidP="003908D2">
      <w:pPr>
        <w:pStyle w:val="NoSpacing"/>
        <w:jc w:val="both"/>
        <w:rPr>
          <w:rFonts w:asciiTheme="majorHAnsi" w:hAnsiTheme="majorHAnsi" w:cstheme="majorHAnsi"/>
        </w:rPr>
      </w:pPr>
      <w:r w:rsidRPr="003908D2">
        <w:rPr>
          <w:rFonts w:asciiTheme="majorHAnsi" w:hAnsiTheme="majorHAnsi" w:cstheme="majorHAnsi"/>
        </w:rPr>
        <w:t xml:space="preserve">We would welcome an update from the Charity Commission on its pilot </w:t>
      </w:r>
      <w:proofErr w:type="spellStart"/>
      <w:r w:rsidRPr="003908D2">
        <w:rPr>
          <w:rFonts w:asciiTheme="majorHAnsi" w:hAnsiTheme="majorHAnsi" w:cstheme="majorHAnsi"/>
        </w:rPr>
        <w:t>programme</w:t>
      </w:r>
      <w:proofErr w:type="spellEnd"/>
      <w:r w:rsidRPr="003908D2">
        <w:rPr>
          <w:rFonts w:asciiTheme="majorHAnsi" w:hAnsiTheme="majorHAnsi" w:cstheme="majorHAnsi"/>
          <w:vertAlign w:val="superscript"/>
        </w:rPr>
        <w:footnoteReference w:id="1"/>
      </w:r>
      <w:r w:rsidRPr="003908D2">
        <w:rPr>
          <w:rFonts w:asciiTheme="majorHAnsi" w:hAnsiTheme="majorHAnsi" w:cstheme="majorHAnsi"/>
        </w:rPr>
        <w:t xml:space="preserve"> of information sharing aimed at tackling instances of business rates avoidance. </w:t>
      </w:r>
      <w:r w:rsidR="00B42AAB">
        <w:rPr>
          <w:rFonts w:asciiTheme="majorHAnsi" w:hAnsiTheme="majorHAnsi" w:cstheme="majorHAnsi"/>
        </w:rPr>
        <w:t xml:space="preserve"> </w:t>
      </w:r>
      <w:r w:rsidR="00560BBF">
        <w:rPr>
          <w:rFonts w:asciiTheme="majorHAnsi" w:hAnsiTheme="majorHAnsi" w:cstheme="majorHAnsi"/>
        </w:rPr>
        <w:t>Its</w:t>
      </w:r>
      <w:r w:rsidR="00560BBF" w:rsidRPr="003908D2">
        <w:rPr>
          <w:rFonts w:asciiTheme="majorHAnsi" w:hAnsiTheme="majorHAnsi" w:cstheme="majorHAnsi"/>
        </w:rPr>
        <w:t xml:space="preserve"> </w:t>
      </w:r>
      <w:r w:rsidRPr="003908D2">
        <w:rPr>
          <w:rFonts w:asciiTheme="majorHAnsi" w:hAnsiTheme="majorHAnsi" w:cstheme="majorHAnsi"/>
        </w:rPr>
        <w:t xml:space="preserve">findings could provide an important evidence base for any future reforms and ensure that any proposals are </w:t>
      </w:r>
      <w:r w:rsidR="00560BBF">
        <w:rPr>
          <w:rFonts w:asciiTheme="majorHAnsi" w:hAnsiTheme="majorHAnsi" w:cstheme="majorHAnsi"/>
        </w:rPr>
        <w:t>effective</w:t>
      </w:r>
      <w:r w:rsidR="00560BBF" w:rsidRPr="003908D2">
        <w:rPr>
          <w:rFonts w:asciiTheme="majorHAnsi" w:hAnsiTheme="majorHAnsi" w:cstheme="majorHAnsi"/>
        </w:rPr>
        <w:t xml:space="preserve"> </w:t>
      </w:r>
      <w:r w:rsidRPr="003908D2">
        <w:rPr>
          <w:rFonts w:asciiTheme="majorHAnsi" w:hAnsiTheme="majorHAnsi" w:cstheme="majorHAnsi"/>
        </w:rPr>
        <w:t xml:space="preserve">and proportionate. </w:t>
      </w:r>
    </w:p>
    <w:p w14:paraId="0F0CD752" w14:textId="77777777" w:rsidR="003908D2" w:rsidRPr="003908D2" w:rsidRDefault="003908D2" w:rsidP="003908D2">
      <w:pPr>
        <w:pStyle w:val="NoSpacing"/>
        <w:jc w:val="both"/>
        <w:rPr>
          <w:rFonts w:asciiTheme="majorHAnsi" w:hAnsiTheme="majorHAnsi" w:cstheme="majorHAnsi"/>
        </w:rPr>
      </w:pPr>
    </w:p>
    <w:p w14:paraId="0000002A" w14:textId="6196E1F2" w:rsidR="00C840EB" w:rsidRPr="003908D2" w:rsidRDefault="00A4576F" w:rsidP="003908D2">
      <w:pPr>
        <w:pStyle w:val="NoSpacing"/>
        <w:jc w:val="both"/>
        <w:rPr>
          <w:rFonts w:asciiTheme="majorHAnsi" w:hAnsiTheme="majorHAnsi" w:cstheme="majorHAnsi"/>
        </w:rPr>
      </w:pPr>
      <w:r>
        <w:rPr>
          <w:rFonts w:asciiTheme="majorHAnsi" w:hAnsiTheme="majorHAnsi" w:cstheme="majorHAnsi"/>
        </w:rPr>
        <w:t>The Charity Commission</w:t>
      </w:r>
      <w:r w:rsidRPr="003908D2">
        <w:rPr>
          <w:rFonts w:asciiTheme="majorHAnsi" w:hAnsiTheme="majorHAnsi" w:cstheme="majorHAnsi"/>
        </w:rPr>
        <w:t xml:space="preserve"> would</w:t>
      </w:r>
      <w:r w:rsidR="00724DC9" w:rsidRPr="003908D2">
        <w:rPr>
          <w:rFonts w:asciiTheme="majorHAnsi" w:hAnsiTheme="majorHAnsi" w:cstheme="majorHAnsi"/>
        </w:rPr>
        <w:t xml:space="preserve"> </w:t>
      </w:r>
      <w:r w:rsidR="00A734D7">
        <w:rPr>
          <w:rFonts w:asciiTheme="majorHAnsi" w:hAnsiTheme="majorHAnsi" w:cstheme="majorHAnsi"/>
        </w:rPr>
        <w:t xml:space="preserve">not </w:t>
      </w:r>
      <w:r w:rsidR="00724DC9" w:rsidRPr="003908D2">
        <w:rPr>
          <w:rFonts w:asciiTheme="majorHAnsi" w:hAnsiTheme="majorHAnsi" w:cstheme="majorHAnsi"/>
        </w:rPr>
        <w:t xml:space="preserve">be appropriate or best placed to act as </w:t>
      </w:r>
      <w:r>
        <w:rPr>
          <w:rFonts w:asciiTheme="majorHAnsi" w:hAnsiTheme="majorHAnsi" w:cstheme="majorHAnsi"/>
        </w:rPr>
        <w:t>the</w:t>
      </w:r>
      <w:r w:rsidR="00724DC9" w:rsidRPr="003908D2">
        <w:rPr>
          <w:rFonts w:asciiTheme="majorHAnsi" w:hAnsiTheme="majorHAnsi" w:cstheme="majorHAnsi"/>
        </w:rPr>
        <w:t xml:space="preserve"> </w:t>
      </w:r>
      <w:r>
        <w:rPr>
          <w:rFonts w:asciiTheme="majorHAnsi" w:hAnsiTheme="majorHAnsi" w:cstheme="majorHAnsi"/>
        </w:rPr>
        <w:t>‘</w:t>
      </w:r>
      <w:r w:rsidR="00724DC9" w:rsidRPr="003908D2">
        <w:rPr>
          <w:rFonts w:asciiTheme="majorHAnsi" w:hAnsiTheme="majorHAnsi" w:cstheme="majorHAnsi"/>
        </w:rPr>
        <w:t>regulator for charity business rates claims</w:t>
      </w:r>
      <w:r>
        <w:rPr>
          <w:rFonts w:asciiTheme="majorHAnsi" w:hAnsiTheme="majorHAnsi" w:cstheme="majorHAnsi"/>
        </w:rPr>
        <w:t>’</w:t>
      </w:r>
      <w:r w:rsidR="00724DC9" w:rsidRPr="003908D2">
        <w:rPr>
          <w:rFonts w:asciiTheme="majorHAnsi" w:hAnsiTheme="majorHAnsi" w:cstheme="majorHAnsi"/>
        </w:rPr>
        <w:t xml:space="preserve"> in England</w:t>
      </w:r>
      <w:r>
        <w:rPr>
          <w:rFonts w:asciiTheme="majorHAnsi" w:hAnsiTheme="majorHAnsi" w:cstheme="majorHAnsi"/>
        </w:rPr>
        <w:t xml:space="preserve"> and Wales</w:t>
      </w:r>
      <w:r w:rsidR="00667688">
        <w:rPr>
          <w:rFonts w:asciiTheme="majorHAnsi" w:hAnsiTheme="majorHAnsi" w:cstheme="majorHAnsi"/>
        </w:rPr>
        <w:t xml:space="preserve"> especially</w:t>
      </w:r>
      <w:r w:rsidR="00724DC9" w:rsidRPr="003908D2">
        <w:rPr>
          <w:rFonts w:asciiTheme="majorHAnsi" w:hAnsiTheme="majorHAnsi" w:cstheme="majorHAnsi"/>
        </w:rPr>
        <w:t xml:space="preserve">, given its limited resources. Its role is to examine the </w:t>
      </w:r>
      <w:r w:rsidR="009A6D85">
        <w:rPr>
          <w:rFonts w:asciiTheme="majorHAnsi" w:hAnsiTheme="majorHAnsi" w:cstheme="majorHAnsi"/>
        </w:rPr>
        <w:t>conduct</w:t>
      </w:r>
      <w:r w:rsidR="009A6D85" w:rsidRPr="003908D2">
        <w:rPr>
          <w:rFonts w:asciiTheme="majorHAnsi" w:hAnsiTheme="majorHAnsi" w:cstheme="majorHAnsi"/>
        </w:rPr>
        <w:t xml:space="preserve"> </w:t>
      </w:r>
      <w:r w:rsidR="00724DC9" w:rsidRPr="003908D2">
        <w:rPr>
          <w:rFonts w:asciiTheme="majorHAnsi" w:hAnsiTheme="majorHAnsi" w:cstheme="majorHAnsi"/>
        </w:rPr>
        <w:t>of trustees of charities within its regulatory remit that have misused charity business rates relief (as for example in the recent Public Safety Charitable Trust inquiry).</w:t>
      </w:r>
    </w:p>
    <w:p w14:paraId="0000002B" w14:textId="3E6D8A34" w:rsidR="00C840EB" w:rsidRDefault="00B20447" w:rsidP="003908D2">
      <w:pPr>
        <w:pStyle w:val="NoSpacing"/>
        <w:jc w:val="both"/>
        <w:rPr>
          <w:rFonts w:asciiTheme="majorHAnsi" w:hAnsiTheme="majorHAnsi" w:cstheme="majorHAnsi"/>
        </w:rPr>
      </w:pPr>
      <w:r>
        <w:rPr>
          <w:rFonts w:asciiTheme="majorHAnsi" w:hAnsiTheme="majorHAnsi" w:cstheme="majorHAnsi"/>
        </w:rPr>
        <w:lastRenderedPageBreak/>
        <w:t>E</w:t>
      </w:r>
      <w:r w:rsidR="00724DC9" w:rsidRPr="003908D2">
        <w:rPr>
          <w:rFonts w:asciiTheme="majorHAnsi" w:hAnsiTheme="majorHAnsi" w:cstheme="majorHAnsi"/>
        </w:rPr>
        <w:t>ligibility for charity business rates reliefs and exemptions is not limited to charities that are registered with the Charity Commission</w:t>
      </w:r>
      <w:r>
        <w:rPr>
          <w:rFonts w:asciiTheme="majorHAnsi" w:hAnsiTheme="majorHAnsi" w:cstheme="majorHAnsi"/>
        </w:rPr>
        <w:t>. R</w:t>
      </w:r>
      <w:r w:rsidR="00724DC9" w:rsidRPr="003908D2">
        <w:rPr>
          <w:rFonts w:asciiTheme="majorHAnsi" w:hAnsiTheme="majorHAnsi" w:cstheme="majorHAnsi"/>
        </w:rPr>
        <w:t>ates relief very important for excepted</w:t>
      </w:r>
      <w:r w:rsidR="00724DC9" w:rsidRPr="003908D2">
        <w:rPr>
          <w:rFonts w:asciiTheme="majorHAnsi" w:hAnsiTheme="majorHAnsi" w:cstheme="majorHAnsi"/>
          <w:vertAlign w:val="superscript"/>
        </w:rPr>
        <w:footnoteReference w:id="2"/>
      </w:r>
      <w:r w:rsidR="00724DC9" w:rsidRPr="003908D2">
        <w:rPr>
          <w:rFonts w:asciiTheme="majorHAnsi" w:hAnsiTheme="majorHAnsi" w:cstheme="majorHAnsi"/>
        </w:rPr>
        <w:t xml:space="preserve"> and exempt</w:t>
      </w:r>
      <w:r w:rsidR="00724DC9" w:rsidRPr="003908D2">
        <w:rPr>
          <w:rFonts w:asciiTheme="majorHAnsi" w:hAnsiTheme="majorHAnsi" w:cstheme="majorHAnsi"/>
          <w:vertAlign w:val="superscript"/>
        </w:rPr>
        <w:footnoteReference w:id="3"/>
      </w:r>
      <w:r w:rsidR="00724DC9" w:rsidRPr="003908D2">
        <w:rPr>
          <w:rFonts w:asciiTheme="majorHAnsi" w:hAnsiTheme="majorHAnsi" w:cstheme="majorHAnsi"/>
        </w:rPr>
        <w:t xml:space="preserve"> charities too. </w:t>
      </w:r>
    </w:p>
    <w:p w14:paraId="71ED26CC" w14:textId="77777777" w:rsidR="003908D2" w:rsidRPr="003908D2" w:rsidRDefault="003908D2" w:rsidP="003908D2">
      <w:pPr>
        <w:pStyle w:val="NoSpacing"/>
        <w:jc w:val="both"/>
        <w:rPr>
          <w:rFonts w:asciiTheme="majorHAnsi" w:hAnsiTheme="majorHAnsi" w:cstheme="majorHAnsi"/>
        </w:rPr>
      </w:pPr>
    </w:p>
    <w:p w14:paraId="0000002C" w14:textId="32047480" w:rsidR="00C840EB" w:rsidRPr="003908D2" w:rsidRDefault="00A734D7" w:rsidP="003908D2">
      <w:pPr>
        <w:pStyle w:val="NoSpacing"/>
        <w:jc w:val="both"/>
        <w:rPr>
          <w:rFonts w:asciiTheme="majorHAnsi" w:hAnsiTheme="majorHAnsi" w:cstheme="majorHAnsi"/>
        </w:rPr>
      </w:pPr>
      <w:r>
        <w:rPr>
          <w:rFonts w:asciiTheme="majorHAnsi" w:hAnsiTheme="majorHAnsi" w:cstheme="majorHAnsi"/>
        </w:rPr>
        <w:t>More information and guidance</w:t>
      </w:r>
      <w:r w:rsidR="00724DC9" w:rsidRPr="003908D2">
        <w:rPr>
          <w:rFonts w:asciiTheme="majorHAnsi" w:hAnsiTheme="majorHAnsi" w:cstheme="majorHAnsi"/>
        </w:rPr>
        <w:t xml:space="preserve"> for local authorities </w:t>
      </w:r>
      <w:r w:rsidR="00560BBF">
        <w:rPr>
          <w:rFonts w:asciiTheme="majorHAnsi" w:hAnsiTheme="majorHAnsi" w:cstheme="majorHAnsi"/>
        </w:rPr>
        <w:t>on</w:t>
      </w:r>
      <w:r w:rsidR="00560BBF" w:rsidRPr="003908D2">
        <w:rPr>
          <w:rFonts w:asciiTheme="majorHAnsi" w:hAnsiTheme="majorHAnsi" w:cstheme="majorHAnsi"/>
        </w:rPr>
        <w:t xml:space="preserve"> </w:t>
      </w:r>
      <w:r w:rsidR="00724DC9" w:rsidRPr="003908D2">
        <w:rPr>
          <w:rFonts w:asciiTheme="majorHAnsi" w:hAnsiTheme="majorHAnsi" w:cstheme="majorHAnsi"/>
        </w:rPr>
        <w:t>what constitutes a charity and which organisations should be eligible for charity business rates relief would be helpful</w:t>
      </w:r>
      <w:r w:rsidR="00A46C30">
        <w:rPr>
          <w:rFonts w:asciiTheme="majorHAnsi" w:hAnsiTheme="majorHAnsi" w:cstheme="majorHAnsi"/>
        </w:rPr>
        <w:t xml:space="preserve">.  </w:t>
      </w:r>
      <w:r w:rsidR="00724DC9" w:rsidRPr="003908D2">
        <w:rPr>
          <w:rFonts w:asciiTheme="majorHAnsi" w:hAnsiTheme="majorHAnsi" w:cstheme="majorHAnsi"/>
        </w:rPr>
        <w:t xml:space="preserve"> </w:t>
      </w:r>
      <w:r w:rsidR="00A46C30">
        <w:rPr>
          <w:rFonts w:asciiTheme="majorHAnsi" w:hAnsiTheme="majorHAnsi" w:cstheme="majorHAnsi"/>
        </w:rPr>
        <w:t>S</w:t>
      </w:r>
      <w:r w:rsidR="00724DC9" w:rsidRPr="003908D2">
        <w:rPr>
          <w:rFonts w:asciiTheme="majorHAnsi" w:hAnsiTheme="majorHAnsi" w:cstheme="majorHAnsi"/>
        </w:rPr>
        <w:t xml:space="preserve">imply asking them to check the Charity Commission register is not </w:t>
      </w:r>
      <w:r w:rsidR="00A46C30">
        <w:rPr>
          <w:rFonts w:asciiTheme="majorHAnsi" w:hAnsiTheme="majorHAnsi" w:cstheme="majorHAnsi"/>
        </w:rPr>
        <w:t>likely to work</w:t>
      </w:r>
      <w:r w:rsidR="00724DC9" w:rsidRPr="003908D2">
        <w:rPr>
          <w:rFonts w:asciiTheme="majorHAnsi" w:hAnsiTheme="majorHAnsi" w:cstheme="majorHAnsi"/>
        </w:rPr>
        <w:t>.</w:t>
      </w:r>
    </w:p>
    <w:p w14:paraId="523321BF" w14:textId="77777777" w:rsidR="003908D2" w:rsidRDefault="003908D2" w:rsidP="003908D2">
      <w:pPr>
        <w:jc w:val="both"/>
        <w:rPr>
          <w:rFonts w:asciiTheme="majorHAnsi" w:hAnsiTheme="majorHAnsi" w:cstheme="majorHAnsi"/>
          <w:b/>
          <w:bCs/>
        </w:rPr>
      </w:pPr>
    </w:p>
    <w:p w14:paraId="6623A2D1" w14:textId="31F6554C" w:rsidR="003908D2" w:rsidRPr="00B06425" w:rsidRDefault="003908D2" w:rsidP="003908D2">
      <w:pPr>
        <w:jc w:val="both"/>
        <w:rPr>
          <w:rFonts w:asciiTheme="majorHAnsi" w:hAnsiTheme="majorHAnsi" w:cstheme="majorHAnsi"/>
          <w:b/>
          <w:bCs/>
          <w:sz w:val="24"/>
          <w:szCs w:val="24"/>
        </w:rPr>
      </w:pPr>
      <w:r w:rsidRPr="00B06425">
        <w:rPr>
          <w:rFonts w:asciiTheme="majorHAnsi" w:hAnsiTheme="majorHAnsi" w:cstheme="majorHAnsi"/>
          <w:b/>
          <w:bCs/>
          <w:sz w:val="24"/>
          <w:szCs w:val="24"/>
        </w:rPr>
        <w:t>Conclusion</w:t>
      </w:r>
    </w:p>
    <w:p w14:paraId="4D3F4FFF" w14:textId="77777777" w:rsidR="003908D2" w:rsidRPr="003908D2" w:rsidRDefault="003908D2" w:rsidP="003908D2">
      <w:pPr>
        <w:jc w:val="both"/>
        <w:rPr>
          <w:rFonts w:asciiTheme="majorHAnsi" w:hAnsiTheme="majorHAnsi" w:cstheme="majorHAnsi"/>
        </w:rPr>
      </w:pPr>
    </w:p>
    <w:p w14:paraId="30AD818E" w14:textId="71A8240C" w:rsidR="003908D2" w:rsidRPr="00B06425" w:rsidRDefault="00B06425" w:rsidP="00B06425">
      <w:pPr>
        <w:pStyle w:val="NoSpacing"/>
        <w:jc w:val="both"/>
        <w:rPr>
          <w:rFonts w:asciiTheme="majorHAnsi" w:eastAsia="Calibri" w:hAnsiTheme="majorHAnsi" w:cstheme="majorHAnsi"/>
        </w:rPr>
      </w:pPr>
      <w:r w:rsidRPr="00B06425">
        <w:rPr>
          <w:rFonts w:asciiTheme="majorHAnsi" w:hAnsiTheme="majorHAnsi" w:cstheme="majorHAnsi"/>
        </w:rPr>
        <w:t xml:space="preserve">The charity sector </w:t>
      </w:r>
      <w:r w:rsidR="003908D2" w:rsidRPr="00B06425">
        <w:rPr>
          <w:rFonts w:asciiTheme="majorHAnsi" w:hAnsiTheme="majorHAnsi" w:cstheme="majorHAnsi"/>
        </w:rPr>
        <w:t>support</w:t>
      </w:r>
      <w:r w:rsidR="002A071B">
        <w:rPr>
          <w:rFonts w:asciiTheme="majorHAnsi" w:hAnsiTheme="majorHAnsi" w:cstheme="majorHAnsi"/>
        </w:rPr>
        <w:t>s</w:t>
      </w:r>
      <w:r w:rsidR="003908D2" w:rsidRPr="00B06425">
        <w:rPr>
          <w:rFonts w:asciiTheme="majorHAnsi" w:hAnsiTheme="majorHAnsi" w:cstheme="majorHAnsi"/>
        </w:rPr>
        <w:t xml:space="preserve"> the Government</w:t>
      </w:r>
      <w:r w:rsidRPr="00B06425">
        <w:rPr>
          <w:rFonts w:asciiTheme="majorHAnsi" w:hAnsiTheme="majorHAnsi" w:cstheme="majorHAnsi"/>
        </w:rPr>
        <w:t xml:space="preserve">’s review of business rates and we will be encouraging responses to part 2 of the consultation. If you require additional information in respect of the </w:t>
      </w:r>
      <w:r>
        <w:rPr>
          <w:rFonts w:asciiTheme="majorHAnsi" w:hAnsiTheme="majorHAnsi" w:cstheme="majorHAnsi"/>
        </w:rPr>
        <w:t>primary o</w:t>
      </w:r>
      <w:r w:rsidR="00A45D9B">
        <w:rPr>
          <w:rFonts w:asciiTheme="majorHAnsi" w:hAnsiTheme="majorHAnsi" w:cstheme="majorHAnsi"/>
        </w:rPr>
        <w:t>r</w:t>
      </w:r>
      <w:r>
        <w:rPr>
          <w:rFonts w:asciiTheme="majorHAnsi" w:hAnsiTheme="majorHAnsi" w:cstheme="majorHAnsi"/>
        </w:rPr>
        <w:t xml:space="preserve"> supplementary submissions, please let us know and we </w:t>
      </w:r>
      <w:r w:rsidR="00A45D9B">
        <w:rPr>
          <w:rFonts w:asciiTheme="majorHAnsi" w:hAnsiTheme="majorHAnsi" w:cstheme="majorHAnsi"/>
        </w:rPr>
        <w:t>will</w:t>
      </w:r>
      <w:r>
        <w:rPr>
          <w:rFonts w:asciiTheme="majorHAnsi" w:hAnsiTheme="majorHAnsi" w:cstheme="majorHAnsi"/>
        </w:rPr>
        <w:t xml:space="preserve"> happ</w:t>
      </w:r>
      <w:r w:rsidR="00A45D9B">
        <w:rPr>
          <w:rFonts w:asciiTheme="majorHAnsi" w:hAnsiTheme="majorHAnsi" w:cstheme="majorHAnsi"/>
        </w:rPr>
        <w:t>il</w:t>
      </w:r>
      <w:r>
        <w:rPr>
          <w:rFonts w:asciiTheme="majorHAnsi" w:hAnsiTheme="majorHAnsi" w:cstheme="majorHAnsi"/>
        </w:rPr>
        <w:t>y arrange a meeting with officials.</w:t>
      </w:r>
    </w:p>
    <w:p w14:paraId="0000002D" w14:textId="77777777" w:rsidR="00C840EB" w:rsidRDefault="00C840EB" w:rsidP="003908D2">
      <w:pPr>
        <w:spacing w:before="240" w:after="240"/>
        <w:jc w:val="both"/>
        <w:rPr>
          <w:rFonts w:ascii="Calibri" w:eastAsia="Calibri" w:hAnsi="Calibri" w:cs="Calibri"/>
        </w:rPr>
      </w:pPr>
    </w:p>
    <w:p w14:paraId="0000002E" w14:textId="77777777" w:rsidR="00C840EB" w:rsidRDefault="00C840EB" w:rsidP="003908D2">
      <w:pPr>
        <w:jc w:val="both"/>
        <w:rPr>
          <w:rFonts w:ascii="Calibri" w:eastAsia="Calibri" w:hAnsi="Calibri" w:cs="Calibri"/>
        </w:rPr>
      </w:pPr>
    </w:p>
    <w:sectPr w:rsidR="00C840EB" w:rsidSect="003908D2">
      <w:footerReference w:type="default" r:id="rId12"/>
      <w:pgSz w:w="12240" w:h="15840"/>
      <w:pgMar w:top="993" w:right="1183"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4EBC" w14:textId="77777777" w:rsidR="00A13D56" w:rsidRDefault="00A13D56">
      <w:pPr>
        <w:spacing w:line="240" w:lineRule="auto"/>
      </w:pPr>
      <w:r>
        <w:separator/>
      </w:r>
    </w:p>
  </w:endnote>
  <w:endnote w:type="continuationSeparator" w:id="0">
    <w:p w14:paraId="0A3E9D7F" w14:textId="77777777" w:rsidR="00A13D56" w:rsidRDefault="00A13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C840EB" w:rsidRDefault="00C84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2E1A5" w14:textId="77777777" w:rsidR="00A13D56" w:rsidRDefault="00A13D56">
      <w:pPr>
        <w:spacing w:line="240" w:lineRule="auto"/>
      </w:pPr>
      <w:r>
        <w:separator/>
      </w:r>
    </w:p>
  </w:footnote>
  <w:footnote w:type="continuationSeparator" w:id="0">
    <w:p w14:paraId="4DBD8669" w14:textId="77777777" w:rsidR="00A13D56" w:rsidRDefault="00A13D56">
      <w:pPr>
        <w:spacing w:line="240" w:lineRule="auto"/>
      </w:pPr>
      <w:r>
        <w:continuationSeparator/>
      </w:r>
    </w:p>
  </w:footnote>
  <w:footnote w:id="1">
    <w:p w14:paraId="00000032" w14:textId="77777777" w:rsidR="00C840EB" w:rsidRDefault="00724DC9">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Agreements were signed with</w:t>
      </w:r>
      <w:r>
        <w:rPr>
          <w:rFonts w:ascii="Calibri" w:eastAsia="Calibri" w:hAnsi="Calibri" w:cs="Calibri"/>
          <w:color w:val="323737"/>
          <w:sz w:val="18"/>
          <w:szCs w:val="18"/>
        </w:rPr>
        <w:t xml:space="preserve"> </w:t>
      </w:r>
      <w:hyperlink r:id="rId1">
        <w:r>
          <w:rPr>
            <w:rFonts w:ascii="Calibri" w:eastAsia="Calibri" w:hAnsi="Calibri" w:cs="Calibri"/>
            <w:color w:val="0000FF"/>
            <w:sz w:val="18"/>
            <w:szCs w:val="18"/>
            <w:u w:val="single"/>
          </w:rPr>
          <w:t>Oxford City Council</w:t>
        </w:r>
      </w:hyperlink>
      <w:r>
        <w:rPr>
          <w:rFonts w:ascii="Calibri" w:eastAsia="Calibri" w:hAnsi="Calibri" w:cs="Calibri"/>
          <w:color w:val="323737"/>
          <w:sz w:val="18"/>
          <w:szCs w:val="18"/>
        </w:rPr>
        <w:t xml:space="preserve">, </w:t>
      </w:r>
      <w:hyperlink r:id="rId2">
        <w:proofErr w:type="spellStart"/>
        <w:r>
          <w:rPr>
            <w:rFonts w:ascii="Calibri" w:eastAsia="Calibri" w:hAnsi="Calibri" w:cs="Calibri"/>
            <w:color w:val="0000FF"/>
            <w:sz w:val="18"/>
            <w:szCs w:val="18"/>
            <w:u w:val="single"/>
          </w:rPr>
          <w:t>Broxbourne</w:t>
        </w:r>
        <w:proofErr w:type="spellEnd"/>
        <w:r>
          <w:rPr>
            <w:rFonts w:ascii="Calibri" w:eastAsia="Calibri" w:hAnsi="Calibri" w:cs="Calibri"/>
            <w:color w:val="0000FF"/>
            <w:sz w:val="18"/>
            <w:szCs w:val="18"/>
            <w:u w:val="single"/>
          </w:rPr>
          <w:t xml:space="preserve"> Borough Council</w:t>
        </w:r>
      </w:hyperlink>
      <w:r>
        <w:rPr>
          <w:rFonts w:ascii="Calibri" w:eastAsia="Calibri" w:hAnsi="Calibri" w:cs="Calibri"/>
          <w:color w:val="0000FF"/>
          <w:sz w:val="18"/>
          <w:szCs w:val="18"/>
          <w:u w:val="single"/>
        </w:rPr>
        <w:t xml:space="preserve"> </w:t>
      </w:r>
      <w:r>
        <w:rPr>
          <w:rFonts w:ascii="Calibri" w:eastAsia="Calibri" w:hAnsi="Calibri" w:cs="Calibri"/>
          <w:sz w:val="18"/>
          <w:szCs w:val="18"/>
        </w:rPr>
        <w:t>and the</w:t>
      </w:r>
      <w:r>
        <w:rPr>
          <w:rFonts w:ascii="Calibri" w:eastAsia="Calibri" w:hAnsi="Calibri" w:cs="Calibri"/>
          <w:color w:val="323737"/>
          <w:sz w:val="18"/>
          <w:szCs w:val="18"/>
        </w:rPr>
        <w:t xml:space="preserve"> </w:t>
      </w:r>
      <w:hyperlink r:id="rId3">
        <w:r>
          <w:rPr>
            <w:rFonts w:ascii="Calibri" w:eastAsia="Calibri" w:hAnsi="Calibri" w:cs="Calibri"/>
            <w:color w:val="0000FF"/>
            <w:sz w:val="18"/>
            <w:szCs w:val="18"/>
            <w:u w:val="single"/>
          </w:rPr>
          <w:t>Kent Intelligence Network</w:t>
        </w:r>
      </w:hyperlink>
      <w:r>
        <w:rPr>
          <w:rFonts w:ascii="Calibri" w:eastAsia="Calibri" w:hAnsi="Calibri" w:cs="Calibri"/>
          <w:color w:val="323737"/>
          <w:sz w:val="18"/>
          <w:szCs w:val="18"/>
        </w:rPr>
        <w:t xml:space="preserve">, </w:t>
      </w:r>
      <w:r>
        <w:rPr>
          <w:rFonts w:ascii="Calibri" w:eastAsia="Calibri" w:hAnsi="Calibri" w:cs="Calibri"/>
          <w:sz w:val="18"/>
          <w:szCs w:val="18"/>
        </w:rPr>
        <w:t>to enable the Commission to carry out coordinated operations with these bodies to look into people or organisations engaging in business rates avoidance. We are not aware that any findings have been made public.</w:t>
      </w:r>
    </w:p>
  </w:footnote>
  <w:footnote w:id="2">
    <w:p w14:paraId="0000002F" w14:textId="77777777" w:rsidR="00C840EB" w:rsidRDefault="00724DC9">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Charities excepted from registration include </w:t>
      </w:r>
      <w:r>
        <w:rPr>
          <w:rFonts w:ascii="Calibri" w:eastAsia="Calibri" w:hAnsi="Calibri" w:cs="Calibri"/>
          <w:color w:val="0B0C0C"/>
          <w:sz w:val="18"/>
          <w:szCs w:val="18"/>
          <w:highlight w:val="white"/>
        </w:rPr>
        <w:t xml:space="preserve">churches, schools, Scout and Guide groups, and armed forces charities. They don’t have to register or submit annual returns to the Charity Commission. Apart from that, the commission regulates them just like registered charities. See more at </w:t>
      </w:r>
      <w:hyperlink r:id="rId4">
        <w:r>
          <w:rPr>
            <w:rFonts w:ascii="Calibri" w:eastAsia="Calibri" w:hAnsi="Calibri" w:cs="Calibri"/>
            <w:color w:val="1155CC"/>
            <w:sz w:val="18"/>
            <w:szCs w:val="18"/>
            <w:u w:val="single"/>
          </w:rPr>
          <w:t>https://www.gov.uk/government/publications/excepted-charities</w:t>
        </w:r>
      </w:hyperlink>
      <w:r>
        <w:rPr>
          <w:rFonts w:ascii="Calibri" w:eastAsia="Calibri" w:hAnsi="Calibri" w:cs="Calibri"/>
          <w:sz w:val="18"/>
          <w:szCs w:val="18"/>
        </w:rPr>
        <w:t xml:space="preserve"> </w:t>
      </w:r>
    </w:p>
  </w:footnote>
  <w:footnote w:id="3">
    <w:p w14:paraId="00000030" w14:textId="77777777" w:rsidR="00C840EB" w:rsidRDefault="00724DC9">
      <w:pPr>
        <w:spacing w:line="240" w:lineRule="auto"/>
        <w:rPr>
          <w:sz w:val="20"/>
          <w:szCs w:val="20"/>
        </w:rPr>
      </w:pPr>
      <w:r>
        <w:rPr>
          <w:vertAlign w:val="superscript"/>
        </w:rPr>
        <w:footnoteRef/>
      </w:r>
      <w:r>
        <w:rPr>
          <w:rFonts w:ascii="Calibri" w:eastAsia="Calibri" w:hAnsi="Calibri" w:cs="Calibri"/>
          <w:sz w:val="18"/>
          <w:szCs w:val="18"/>
        </w:rPr>
        <w:t xml:space="preserve"> </w:t>
      </w:r>
      <w:r>
        <w:rPr>
          <w:rFonts w:ascii="Calibri" w:eastAsia="Calibri" w:hAnsi="Calibri" w:cs="Calibri"/>
          <w:color w:val="0B0C0C"/>
          <w:sz w:val="18"/>
          <w:szCs w:val="18"/>
        </w:rPr>
        <w:t xml:space="preserve">An exempt charity has charitable status and is required to comply with charity law, but unlike other charities it: cannot register with the Charity Commission; is not directly regulated by the Commission and instead has (or will have) a principal regulator; may only be investigated by the Commission as part of a statutory inquiry at the request of its principal regulator. Exempt charities include many educational charities and national museums and galleries. See more at </w:t>
      </w:r>
      <w:hyperlink r:id="rId5">
        <w:r>
          <w:rPr>
            <w:rFonts w:ascii="Calibri" w:eastAsia="Calibri" w:hAnsi="Calibri" w:cs="Calibri"/>
            <w:color w:val="1155CC"/>
            <w:sz w:val="18"/>
            <w:szCs w:val="18"/>
            <w:u w:val="single"/>
          </w:rPr>
          <w:t>https://www.gov.uk/government/publications/exempt-charities-cc23/exempt-charities</w:t>
        </w:r>
      </w:hyperlink>
      <w:r>
        <w:rPr>
          <w:rFonts w:ascii="Calibri" w:eastAsia="Calibri" w:hAnsi="Calibri" w:cs="Calibri"/>
          <w:color w:val="0B0C0C"/>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61A28"/>
    <w:multiLevelType w:val="hybridMultilevel"/>
    <w:tmpl w:val="4912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A5731"/>
    <w:multiLevelType w:val="multilevel"/>
    <w:tmpl w:val="80888182"/>
    <w:lvl w:ilvl="0">
      <w:start w:val="1"/>
      <w:numFmt w:val="lowerLetter"/>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44635E"/>
    <w:multiLevelType w:val="hybridMultilevel"/>
    <w:tmpl w:val="C64C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5D5B36"/>
    <w:multiLevelType w:val="multilevel"/>
    <w:tmpl w:val="031A498C"/>
    <w:lvl w:ilvl="0">
      <w:start w:val="1"/>
      <w:numFmt w:val="bullet"/>
      <w:lvlText w:val="●"/>
      <w:lvlJc w:val="left"/>
      <w:pPr>
        <w:ind w:left="720" w:hanging="360"/>
      </w:pPr>
      <w:rPr>
        <w:rFonts w:ascii="Calibri" w:eastAsia="Calibri" w:hAnsi="Calibri" w:cs="Calibri"/>
        <w:b w:val="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EB"/>
    <w:rsid w:val="000100CB"/>
    <w:rsid w:val="0005102C"/>
    <w:rsid w:val="00095152"/>
    <w:rsid w:val="001254C0"/>
    <w:rsid w:val="00125B9D"/>
    <w:rsid w:val="0015210E"/>
    <w:rsid w:val="001525A3"/>
    <w:rsid w:val="00162B14"/>
    <w:rsid w:val="001C476B"/>
    <w:rsid w:val="00204DF8"/>
    <w:rsid w:val="00222DAD"/>
    <w:rsid w:val="00233E9A"/>
    <w:rsid w:val="002A071B"/>
    <w:rsid w:val="002B0D89"/>
    <w:rsid w:val="002C6A4F"/>
    <w:rsid w:val="003028BC"/>
    <w:rsid w:val="003674B8"/>
    <w:rsid w:val="00383D57"/>
    <w:rsid w:val="003908D2"/>
    <w:rsid w:val="00420F43"/>
    <w:rsid w:val="004562E5"/>
    <w:rsid w:val="00486302"/>
    <w:rsid w:val="004915D6"/>
    <w:rsid w:val="004A1953"/>
    <w:rsid w:val="004C165E"/>
    <w:rsid w:val="00507700"/>
    <w:rsid w:val="005100B7"/>
    <w:rsid w:val="0054351D"/>
    <w:rsid w:val="00560BBF"/>
    <w:rsid w:val="00591B02"/>
    <w:rsid w:val="005D660C"/>
    <w:rsid w:val="005E0F65"/>
    <w:rsid w:val="005E6218"/>
    <w:rsid w:val="00626C4C"/>
    <w:rsid w:val="006318F1"/>
    <w:rsid w:val="00652B67"/>
    <w:rsid w:val="00667688"/>
    <w:rsid w:val="006B3B58"/>
    <w:rsid w:val="006E2137"/>
    <w:rsid w:val="006E66BD"/>
    <w:rsid w:val="00703CB7"/>
    <w:rsid w:val="00724DC9"/>
    <w:rsid w:val="00796B77"/>
    <w:rsid w:val="007B22AD"/>
    <w:rsid w:val="0080374E"/>
    <w:rsid w:val="0082602D"/>
    <w:rsid w:val="00831E93"/>
    <w:rsid w:val="0084302E"/>
    <w:rsid w:val="00854C4C"/>
    <w:rsid w:val="00876AEB"/>
    <w:rsid w:val="00885D60"/>
    <w:rsid w:val="0089447D"/>
    <w:rsid w:val="008C15B7"/>
    <w:rsid w:val="008D258C"/>
    <w:rsid w:val="009A349C"/>
    <w:rsid w:val="009A6D85"/>
    <w:rsid w:val="00A13D56"/>
    <w:rsid w:val="00A33C2E"/>
    <w:rsid w:val="00A4576F"/>
    <w:rsid w:val="00A45D9B"/>
    <w:rsid w:val="00A46C30"/>
    <w:rsid w:val="00A62F49"/>
    <w:rsid w:val="00A734D7"/>
    <w:rsid w:val="00AB3043"/>
    <w:rsid w:val="00AB7663"/>
    <w:rsid w:val="00B06425"/>
    <w:rsid w:val="00B15167"/>
    <w:rsid w:val="00B20447"/>
    <w:rsid w:val="00B42AAB"/>
    <w:rsid w:val="00B6599D"/>
    <w:rsid w:val="00B7136E"/>
    <w:rsid w:val="00B808C1"/>
    <w:rsid w:val="00C069BA"/>
    <w:rsid w:val="00C157B9"/>
    <w:rsid w:val="00C456BA"/>
    <w:rsid w:val="00C7202C"/>
    <w:rsid w:val="00C840EB"/>
    <w:rsid w:val="00C92897"/>
    <w:rsid w:val="00CB69D0"/>
    <w:rsid w:val="00CF65D7"/>
    <w:rsid w:val="00D36F0D"/>
    <w:rsid w:val="00D63387"/>
    <w:rsid w:val="00D83D70"/>
    <w:rsid w:val="00DE6642"/>
    <w:rsid w:val="00DF7ED3"/>
    <w:rsid w:val="00E440FB"/>
    <w:rsid w:val="00E90567"/>
    <w:rsid w:val="00F032FC"/>
    <w:rsid w:val="00F20A4B"/>
    <w:rsid w:val="00F52CD7"/>
    <w:rsid w:val="00FC0BA1"/>
    <w:rsid w:val="00FD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9C8B"/>
  <w15:docId w15:val="{DE0F8598-EAF8-4DEE-BEC7-991A32B3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9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53"/>
    <w:rPr>
      <w:rFonts w:ascii="Segoe UI" w:hAnsi="Segoe UI" w:cs="Segoe UI"/>
      <w:sz w:val="18"/>
      <w:szCs w:val="18"/>
    </w:rPr>
  </w:style>
  <w:style w:type="paragraph" w:styleId="NoSpacing">
    <w:name w:val="No Spacing"/>
    <w:uiPriority w:val="1"/>
    <w:qFormat/>
    <w:rsid w:val="003908D2"/>
    <w:pPr>
      <w:spacing w:line="240" w:lineRule="auto"/>
    </w:pPr>
  </w:style>
  <w:style w:type="paragraph" w:styleId="CommentSubject">
    <w:name w:val="annotation subject"/>
    <w:basedOn w:val="CommentText"/>
    <w:next w:val="CommentText"/>
    <w:link w:val="CommentSubjectChar"/>
    <w:uiPriority w:val="99"/>
    <w:semiHidden/>
    <w:unhideWhenUsed/>
    <w:rsid w:val="009A349C"/>
    <w:rPr>
      <w:b/>
      <w:bCs/>
    </w:rPr>
  </w:style>
  <w:style w:type="character" w:customStyle="1" w:styleId="CommentSubjectChar">
    <w:name w:val="Comment Subject Char"/>
    <w:basedOn w:val="CommentTextChar"/>
    <w:link w:val="CommentSubject"/>
    <w:uiPriority w:val="99"/>
    <w:semiHidden/>
    <w:rsid w:val="009A349C"/>
    <w:rPr>
      <w:b/>
      <w:bCs/>
      <w:sz w:val="20"/>
      <w:szCs w:val="20"/>
    </w:rPr>
  </w:style>
  <w:style w:type="paragraph" w:styleId="Revision">
    <w:name w:val="Revision"/>
    <w:hidden/>
    <w:uiPriority w:val="99"/>
    <w:semiHidden/>
    <w:rsid w:val="009A34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irdsector.co.uk/arts-organisation-claimed-least-500k-charitable-rate-relief-labelled-a-sham-judge/governance/article/1697683" TargetMode="External"/><Relationship Id="rId5" Type="http://schemas.openxmlformats.org/officeDocument/2006/relationships/styles" Target="styles.xml"/><Relationship Id="rId10" Type="http://schemas.openxmlformats.org/officeDocument/2006/relationships/hyperlink" Target="https://www.charitytaxgroup.org.uk/wp-content/uploads/Voluntary-Sector-Business-Rates-Consultation-Respon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617968/2017_03_05_CC_and_Kent_Intelligence_Network_MoU.pdf" TargetMode="External"/><Relationship Id="rId2" Type="http://schemas.openxmlformats.org/officeDocument/2006/relationships/hyperlink" Target="https://www.gov.uk/government/uploads/system/uploads/attachment_data/file/617975/MoU_Charity_Commission_and_Broxbourne_Borough_Council.pdf" TargetMode="External"/><Relationship Id="rId1" Type="http://schemas.openxmlformats.org/officeDocument/2006/relationships/hyperlink" Target="https://www.gov.uk/government/uploads/system/uploads/attachment_data/file/618125/2017_04_26_MoU_Final_Oxford_CC_and_Charity_Commission.pdf" TargetMode="External"/><Relationship Id="rId5" Type="http://schemas.openxmlformats.org/officeDocument/2006/relationships/hyperlink" Target="https://www.gov.uk/government/publications/exempt-charities-cc23/exempt-charities" TargetMode="External"/><Relationship Id="rId4" Type="http://schemas.openxmlformats.org/officeDocument/2006/relationships/hyperlink" Target="https://www.gov.uk/government/publications/excepted-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34AAE25472D4AA781FF03AEAE8B87" ma:contentTypeVersion="13" ma:contentTypeDescription="Create a new document." ma:contentTypeScope="" ma:versionID="f8e3d5b53064dee7f91dc79ad67c86c0">
  <xsd:schema xmlns:xsd="http://www.w3.org/2001/XMLSchema" xmlns:xs="http://www.w3.org/2001/XMLSchema" xmlns:p="http://schemas.microsoft.com/office/2006/metadata/properties" xmlns:ns3="b98d5fa4-7416-415e-8496-aff9f65c0344" xmlns:ns4="4e273e95-44fd-4b7d-93cc-fdde796c9fe4" targetNamespace="http://schemas.microsoft.com/office/2006/metadata/properties" ma:root="true" ma:fieldsID="ce460c78396f7c0f1a5d5eb175ad3585" ns3:_="" ns4:_="">
    <xsd:import namespace="b98d5fa4-7416-415e-8496-aff9f65c0344"/>
    <xsd:import namespace="4e273e95-44fd-4b7d-93cc-fdde796c9f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5fa4-7416-415e-8496-aff9f65c0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73e95-44fd-4b7d-93cc-fdde796c9f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30C0A-1108-4D59-B368-C565FCCEEF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3B93C4-FA33-4A62-B694-472F1EBEECE0}">
  <ds:schemaRefs>
    <ds:schemaRef ds:uri="http://schemas.microsoft.com/sharepoint/v3/contenttype/forms"/>
  </ds:schemaRefs>
</ds:datastoreItem>
</file>

<file path=customXml/itemProps3.xml><?xml version="1.0" encoding="utf-8"?>
<ds:datastoreItem xmlns:ds="http://schemas.openxmlformats.org/officeDocument/2006/customXml" ds:itemID="{3A14FA07-0169-4DB0-8F10-250C1D734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5fa4-7416-415e-8496-aff9f65c0344"/>
    <ds:schemaRef ds:uri="4e273e95-44fd-4b7d-93cc-fdde796c9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Lane</dc:creator>
  <cp:lastModifiedBy>Chris Lane</cp:lastModifiedBy>
  <cp:revision>4</cp:revision>
  <cp:lastPrinted>2020-10-26T08:13:00Z</cp:lastPrinted>
  <dcterms:created xsi:type="dcterms:W3CDTF">2020-10-26T14:31:00Z</dcterms:created>
  <dcterms:modified xsi:type="dcterms:W3CDTF">2020-10-26T14:33:00Z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0x010100B4034AAE25472D4AA781FF03AEAE8B87</vt:lpwstr>
  </property>
</Properties>
</file>