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EB2" w:rsidRDefault="00436F19" w:rsidP="00BF3041">
      <w:pPr>
        <w:spacing w:after="200"/>
        <w:jc w:val="center"/>
        <w:rPr>
          <w:rFonts w:ascii="Calibri" w:hAnsi="Calibri"/>
          <w:b/>
          <w:sz w:val="28"/>
          <w:szCs w:val="24"/>
        </w:rPr>
      </w:pPr>
      <w:r w:rsidRPr="00B91EB2">
        <w:rPr>
          <w:rFonts w:ascii="Calibri" w:hAnsi="Calibri"/>
          <w:b/>
          <w:sz w:val="28"/>
          <w:szCs w:val="24"/>
        </w:rPr>
        <w:t xml:space="preserve">DCMS </w:t>
      </w:r>
      <w:r w:rsidRPr="00B91EB2">
        <w:rPr>
          <w:rFonts w:ascii="Calibri" w:hAnsi="Calibri"/>
          <w:b/>
          <w:i/>
          <w:sz w:val="28"/>
          <w:szCs w:val="24"/>
        </w:rPr>
        <w:t>C</w:t>
      </w:r>
      <w:r w:rsidR="00B91EB2" w:rsidRPr="00B91EB2">
        <w:rPr>
          <w:rFonts w:ascii="Calibri" w:hAnsi="Calibri"/>
          <w:b/>
          <w:i/>
          <w:sz w:val="28"/>
          <w:szCs w:val="24"/>
        </w:rPr>
        <w:t>all for V</w:t>
      </w:r>
      <w:r w:rsidR="00E61F23" w:rsidRPr="00B91EB2">
        <w:rPr>
          <w:rFonts w:ascii="Calibri" w:hAnsi="Calibri"/>
          <w:b/>
          <w:i/>
          <w:sz w:val="28"/>
          <w:szCs w:val="24"/>
        </w:rPr>
        <w:t>iews</w:t>
      </w:r>
      <w:r w:rsidRPr="00B91EB2">
        <w:rPr>
          <w:rFonts w:ascii="Calibri" w:hAnsi="Calibri"/>
          <w:b/>
          <w:sz w:val="28"/>
          <w:szCs w:val="24"/>
        </w:rPr>
        <w:t xml:space="preserve"> on </w:t>
      </w:r>
      <w:r w:rsidR="00E61F23" w:rsidRPr="00B91EB2">
        <w:rPr>
          <w:rFonts w:ascii="Calibri" w:hAnsi="Calibri"/>
          <w:b/>
          <w:sz w:val="28"/>
          <w:szCs w:val="24"/>
        </w:rPr>
        <w:t>derogations from the GDPR</w:t>
      </w:r>
      <w:r w:rsidR="00BF3041" w:rsidRPr="00B91EB2">
        <w:rPr>
          <w:rFonts w:ascii="Calibri" w:hAnsi="Calibri"/>
          <w:b/>
          <w:sz w:val="28"/>
          <w:szCs w:val="24"/>
        </w:rPr>
        <w:t xml:space="preserve"> </w:t>
      </w:r>
    </w:p>
    <w:p w:rsidR="00B91EB2" w:rsidRPr="00B91EB2" w:rsidRDefault="00B91EB2" w:rsidP="00B91EB2">
      <w:pPr>
        <w:pStyle w:val="NoSpacing"/>
      </w:pPr>
    </w:p>
    <w:p w:rsidR="002A6C5B" w:rsidRDefault="00B91EB2" w:rsidP="00BF3041">
      <w:pPr>
        <w:spacing w:after="200"/>
        <w:jc w:val="center"/>
        <w:rPr>
          <w:rFonts w:ascii="Calibri" w:hAnsi="Calibri"/>
          <w:b/>
          <w:sz w:val="24"/>
          <w:szCs w:val="24"/>
        </w:rPr>
      </w:pPr>
      <w:r>
        <w:rPr>
          <w:rFonts w:ascii="Calibri" w:hAnsi="Calibri"/>
          <w:b/>
          <w:sz w:val="24"/>
          <w:szCs w:val="24"/>
        </w:rPr>
        <w:t>Response from the Charity Tax Group – 10 May 2017</w:t>
      </w:r>
      <w:r w:rsidR="00BF3041">
        <w:rPr>
          <w:rFonts w:ascii="Calibri" w:hAnsi="Calibri"/>
          <w:b/>
          <w:sz w:val="24"/>
          <w:szCs w:val="24"/>
        </w:rPr>
        <w:t xml:space="preserve"> </w:t>
      </w:r>
    </w:p>
    <w:p w:rsidR="00B91EB2" w:rsidRDefault="00B91EB2" w:rsidP="00B91EB2">
      <w:pPr>
        <w:pStyle w:val="NoSpacing"/>
      </w:pPr>
    </w:p>
    <w:p w:rsidR="00E804B6" w:rsidRDefault="00BF3041" w:rsidP="009E08A4">
      <w:pPr>
        <w:spacing w:after="200"/>
        <w:jc w:val="both"/>
        <w:rPr>
          <w:rFonts w:ascii="Calibri" w:hAnsi="Calibri"/>
          <w:b/>
          <w:sz w:val="22"/>
          <w:szCs w:val="22"/>
        </w:rPr>
      </w:pPr>
      <w:r>
        <w:rPr>
          <w:rFonts w:ascii="Calibri" w:hAnsi="Calibri"/>
          <w:b/>
          <w:sz w:val="22"/>
          <w:szCs w:val="22"/>
        </w:rPr>
        <w:t>About the Charity Tax Group</w:t>
      </w:r>
    </w:p>
    <w:p w:rsidR="00BF3041" w:rsidRDefault="00BF3041" w:rsidP="00E906B7">
      <w:pPr>
        <w:pStyle w:val="ListParagraph"/>
        <w:numPr>
          <w:ilvl w:val="0"/>
          <w:numId w:val="12"/>
        </w:numPr>
        <w:spacing w:after="200"/>
        <w:ind w:left="426" w:hanging="426"/>
        <w:jc w:val="both"/>
        <w:rPr>
          <w:rFonts w:ascii="Calibri" w:hAnsi="Calibri"/>
          <w:sz w:val="22"/>
          <w:szCs w:val="22"/>
        </w:rPr>
      </w:pPr>
      <w:r w:rsidRPr="00E906B7">
        <w:rPr>
          <w:rFonts w:ascii="Calibri" w:hAnsi="Calibri"/>
          <w:sz w:val="22"/>
          <w:szCs w:val="22"/>
        </w:rPr>
        <w:t xml:space="preserve">The Charity Tax Group (CTG) has over 500 members of all sizes representing all types of charitable activity. It was </w:t>
      </w:r>
      <w:r w:rsidR="007C6E12" w:rsidRPr="00E906B7">
        <w:rPr>
          <w:rFonts w:ascii="Calibri" w:hAnsi="Calibri"/>
          <w:sz w:val="22"/>
          <w:szCs w:val="22"/>
        </w:rPr>
        <w:t>set up</w:t>
      </w:r>
      <w:r w:rsidRPr="00E906B7">
        <w:rPr>
          <w:rFonts w:ascii="Calibri" w:hAnsi="Calibri"/>
          <w:sz w:val="22"/>
          <w:szCs w:val="22"/>
        </w:rPr>
        <w:t xml:space="preserve"> in 1982 to make representations to Government on charity taxation and it has since become the leading voice for the sector on this issue.</w:t>
      </w:r>
    </w:p>
    <w:p w:rsidR="00E906B7" w:rsidRPr="00E906B7" w:rsidRDefault="00E906B7" w:rsidP="00E906B7">
      <w:pPr>
        <w:pStyle w:val="ListParagraph"/>
        <w:spacing w:after="200"/>
        <w:ind w:left="426"/>
        <w:jc w:val="both"/>
        <w:rPr>
          <w:rFonts w:ascii="Calibri" w:hAnsi="Calibri"/>
          <w:sz w:val="22"/>
          <w:szCs w:val="22"/>
        </w:rPr>
      </w:pPr>
    </w:p>
    <w:p w:rsidR="00BF3041" w:rsidRPr="00E906B7" w:rsidRDefault="00BF3041" w:rsidP="00E906B7">
      <w:pPr>
        <w:pStyle w:val="ListParagraph"/>
        <w:numPr>
          <w:ilvl w:val="0"/>
          <w:numId w:val="12"/>
        </w:numPr>
        <w:spacing w:after="200"/>
        <w:ind w:left="426" w:hanging="426"/>
        <w:jc w:val="both"/>
        <w:rPr>
          <w:rFonts w:ascii="Calibri" w:hAnsi="Calibri"/>
          <w:sz w:val="22"/>
          <w:szCs w:val="22"/>
        </w:rPr>
      </w:pPr>
      <w:r w:rsidRPr="00E906B7">
        <w:rPr>
          <w:rFonts w:ascii="Calibri" w:hAnsi="Calibri"/>
          <w:sz w:val="22"/>
          <w:szCs w:val="22"/>
        </w:rPr>
        <w:t>CTG welcomes the opportunity to respond to this consultation and would be happy to meet officials to discuss our answers in greater detail.</w:t>
      </w:r>
    </w:p>
    <w:p w:rsidR="00E61F23" w:rsidRDefault="003E0045" w:rsidP="009E08A4">
      <w:pPr>
        <w:spacing w:after="200"/>
        <w:jc w:val="both"/>
        <w:rPr>
          <w:rFonts w:ascii="Calibri" w:hAnsi="Calibri"/>
          <w:b/>
          <w:sz w:val="22"/>
          <w:szCs w:val="22"/>
        </w:rPr>
      </w:pPr>
      <w:r>
        <w:rPr>
          <w:rFonts w:ascii="Calibri" w:hAnsi="Calibri"/>
          <w:b/>
          <w:sz w:val="22"/>
          <w:szCs w:val="22"/>
        </w:rPr>
        <w:t xml:space="preserve">The Call for </w:t>
      </w:r>
      <w:r w:rsidR="00D358DF">
        <w:rPr>
          <w:rFonts w:ascii="Calibri" w:hAnsi="Calibri"/>
          <w:b/>
          <w:sz w:val="22"/>
          <w:szCs w:val="22"/>
        </w:rPr>
        <w:t>V</w:t>
      </w:r>
      <w:r>
        <w:rPr>
          <w:rFonts w:ascii="Calibri" w:hAnsi="Calibri"/>
          <w:b/>
          <w:sz w:val="22"/>
          <w:szCs w:val="22"/>
        </w:rPr>
        <w:t>iews</w:t>
      </w:r>
    </w:p>
    <w:p w:rsidR="00E906B7" w:rsidRDefault="00D358DF" w:rsidP="000A1DBA">
      <w:pPr>
        <w:pStyle w:val="ListParagraph"/>
        <w:numPr>
          <w:ilvl w:val="0"/>
          <w:numId w:val="12"/>
        </w:numPr>
        <w:spacing w:after="200"/>
        <w:ind w:left="426" w:hanging="426"/>
        <w:jc w:val="both"/>
        <w:rPr>
          <w:rFonts w:ascii="Calibri" w:hAnsi="Calibri"/>
          <w:sz w:val="22"/>
          <w:szCs w:val="22"/>
        </w:rPr>
      </w:pPr>
      <w:r w:rsidRPr="001170BA">
        <w:rPr>
          <w:rFonts w:ascii="Calibri" w:hAnsi="Calibri"/>
          <w:sz w:val="22"/>
          <w:szCs w:val="22"/>
        </w:rPr>
        <w:t>The implementation</w:t>
      </w:r>
      <w:r w:rsidR="008B11E7" w:rsidRPr="001170BA">
        <w:rPr>
          <w:rFonts w:ascii="Calibri" w:hAnsi="Calibri"/>
          <w:sz w:val="22"/>
          <w:szCs w:val="22"/>
        </w:rPr>
        <w:t xml:space="preserve"> of the </w:t>
      </w:r>
      <w:r w:rsidRPr="001170BA">
        <w:rPr>
          <w:rFonts w:ascii="Calibri" w:hAnsi="Calibri"/>
          <w:sz w:val="22"/>
          <w:szCs w:val="22"/>
        </w:rPr>
        <w:t>new data protection regulations should offer important</w:t>
      </w:r>
      <w:r w:rsidR="008B11E7" w:rsidRPr="001170BA">
        <w:rPr>
          <w:rFonts w:ascii="Calibri" w:hAnsi="Calibri"/>
          <w:sz w:val="22"/>
          <w:szCs w:val="22"/>
        </w:rPr>
        <w:t xml:space="preserve"> </w:t>
      </w:r>
      <w:r w:rsidRPr="001170BA">
        <w:rPr>
          <w:rFonts w:ascii="Calibri" w:hAnsi="Calibri"/>
          <w:sz w:val="22"/>
          <w:szCs w:val="22"/>
        </w:rPr>
        <w:t xml:space="preserve">and welcome protection to donors. </w:t>
      </w:r>
      <w:r w:rsidR="003E0045" w:rsidRPr="001170BA">
        <w:rPr>
          <w:rFonts w:ascii="Calibri" w:hAnsi="Calibri"/>
          <w:sz w:val="22"/>
          <w:szCs w:val="22"/>
        </w:rPr>
        <w:t xml:space="preserve">However, </w:t>
      </w:r>
      <w:r w:rsidRPr="001170BA">
        <w:rPr>
          <w:rFonts w:ascii="Calibri" w:hAnsi="Calibri"/>
          <w:sz w:val="22"/>
          <w:szCs w:val="22"/>
        </w:rPr>
        <w:t xml:space="preserve">we believe that the implementation should recognise the practical implications for charities at an operational level, where there are conflicting obligations to contact donors for administrative reasons, </w:t>
      </w:r>
      <w:r w:rsidR="001170BA" w:rsidRPr="001170BA">
        <w:rPr>
          <w:rFonts w:ascii="Calibri" w:hAnsi="Calibri"/>
          <w:sz w:val="22"/>
          <w:szCs w:val="22"/>
        </w:rPr>
        <w:t>particularly</w:t>
      </w:r>
      <w:r w:rsidRPr="001170BA">
        <w:rPr>
          <w:rFonts w:ascii="Calibri" w:hAnsi="Calibri"/>
          <w:sz w:val="22"/>
          <w:szCs w:val="22"/>
        </w:rPr>
        <w:t xml:space="preserve"> in respect of Gift Aid. </w:t>
      </w:r>
    </w:p>
    <w:p w:rsidR="001170BA" w:rsidRPr="001170BA" w:rsidRDefault="001170BA" w:rsidP="001170BA">
      <w:pPr>
        <w:pStyle w:val="ListParagraph"/>
        <w:spacing w:after="200"/>
        <w:ind w:left="426"/>
        <w:jc w:val="both"/>
        <w:rPr>
          <w:rFonts w:ascii="Calibri" w:hAnsi="Calibri"/>
          <w:sz w:val="22"/>
          <w:szCs w:val="22"/>
        </w:rPr>
      </w:pPr>
    </w:p>
    <w:p w:rsidR="00E906B7" w:rsidRDefault="00D358DF" w:rsidP="00E906B7">
      <w:pPr>
        <w:pStyle w:val="ListParagraph"/>
        <w:numPr>
          <w:ilvl w:val="0"/>
          <w:numId w:val="12"/>
        </w:numPr>
        <w:spacing w:after="200"/>
        <w:ind w:left="426" w:hanging="426"/>
        <w:jc w:val="both"/>
        <w:rPr>
          <w:rFonts w:ascii="Calibri" w:hAnsi="Calibri"/>
          <w:sz w:val="22"/>
          <w:szCs w:val="22"/>
        </w:rPr>
      </w:pPr>
      <w:r w:rsidRPr="00E906B7">
        <w:rPr>
          <w:rFonts w:ascii="Calibri" w:hAnsi="Calibri"/>
          <w:sz w:val="22"/>
          <w:szCs w:val="22"/>
        </w:rPr>
        <w:t>While it is unlikely that this would require any formal derogations from GDPR, it is important to flag this potential issue at the outset and to encourage further discussions between HMRC, the ICO and charities to establish what is and is not permitted in respect of donor contact and Gift Aid.</w:t>
      </w:r>
    </w:p>
    <w:p w:rsidR="00E906B7" w:rsidRPr="00E906B7" w:rsidRDefault="00E906B7" w:rsidP="00E906B7">
      <w:pPr>
        <w:pStyle w:val="ListParagraph"/>
        <w:spacing w:after="200"/>
        <w:ind w:left="426"/>
        <w:jc w:val="both"/>
        <w:rPr>
          <w:rFonts w:ascii="Calibri" w:hAnsi="Calibri"/>
          <w:sz w:val="22"/>
          <w:szCs w:val="22"/>
        </w:rPr>
      </w:pPr>
    </w:p>
    <w:p w:rsidR="001170BA" w:rsidRDefault="00E906B7" w:rsidP="00E906B7">
      <w:pPr>
        <w:pStyle w:val="ListParagraph"/>
        <w:numPr>
          <w:ilvl w:val="0"/>
          <w:numId w:val="12"/>
        </w:numPr>
        <w:spacing w:after="200"/>
        <w:ind w:left="426" w:hanging="426"/>
        <w:jc w:val="both"/>
        <w:rPr>
          <w:rFonts w:ascii="Calibri" w:hAnsi="Calibri"/>
          <w:sz w:val="22"/>
          <w:szCs w:val="22"/>
        </w:rPr>
      </w:pPr>
      <w:r w:rsidRPr="00E906B7">
        <w:rPr>
          <w:rFonts w:asciiTheme="minorHAnsi" w:hAnsiTheme="minorHAnsi"/>
          <w:sz w:val="22"/>
          <w:szCs w:val="22"/>
        </w:rPr>
        <w:t xml:space="preserve">We are aware that under the current rules it is permissible to contact donors and </w:t>
      </w:r>
      <w:r w:rsidRPr="00E906B7">
        <w:rPr>
          <w:rFonts w:asciiTheme="minorHAnsi" w:hAnsiTheme="minorHAnsi"/>
          <w:sz w:val="22"/>
          <w:szCs w:val="22"/>
        </w:rPr>
        <w:t>process data to meet the legal requirements around G</w:t>
      </w:r>
      <w:r w:rsidRPr="00E906B7">
        <w:rPr>
          <w:rFonts w:asciiTheme="minorHAnsi" w:hAnsiTheme="minorHAnsi"/>
          <w:sz w:val="22"/>
          <w:szCs w:val="22"/>
        </w:rPr>
        <w:t>ift Aid</w:t>
      </w:r>
      <w:r w:rsidRPr="00E906B7">
        <w:rPr>
          <w:rFonts w:asciiTheme="minorHAnsi" w:hAnsiTheme="minorHAnsi"/>
          <w:sz w:val="22"/>
          <w:szCs w:val="22"/>
        </w:rPr>
        <w:t xml:space="preserve">, </w:t>
      </w:r>
      <w:r w:rsidRPr="00E906B7">
        <w:rPr>
          <w:rFonts w:asciiTheme="minorHAnsi" w:hAnsiTheme="minorHAnsi"/>
          <w:sz w:val="22"/>
          <w:szCs w:val="22"/>
        </w:rPr>
        <w:t>then limits on donor contact do not apply and there will not be a</w:t>
      </w:r>
      <w:r w:rsidRPr="00E906B7">
        <w:rPr>
          <w:rFonts w:ascii="Calibri" w:hAnsi="Calibri"/>
        </w:rPr>
        <w:t xml:space="preserve"> </w:t>
      </w:r>
      <w:r w:rsidR="00652CB6" w:rsidRPr="00E906B7">
        <w:rPr>
          <w:rFonts w:ascii="Calibri" w:hAnsi="Calibri"/>
          <w:sz w:val="22"/>
          <w:szCs w:val="22"/>
        </w:rPr>
        <w:t>breach of the Regulation if they</w:t>
      </w:r>
      <w:r w:rsidR="003E0045" w:rsidRPr="00E906B7">
        <w:rPr>
          <w:rFonts w:ascii="Calibri" w:hAnsi="Calibri"/>
          <w:sz w:val="22"/>
          <w:szCs w:val="22"/>
        </w:rPr>
        <w:t xml:space="preserve"> continue to</w:t>
      </w:r>
      <w:r w:rsidR="00652CB6" w:rsidRPr="00E906B7">
        <w:rPr>
          <w:rFonts w:ascii="Calibri" w:hAnsi="Calibri"/>
          <w:sz w:val="22"/>
          <w:szCs w:val="22"/>
        </w:rPr>
        <w:t xml:space="preserve"> contact donors who have expressed a preference for not being contacted. However, it is not clear where the line is drawn between, for example, a legal obligation underpinned by legislation and action required</w:t>
      </w:r>
      <w:r w:rsidR="003E0045" w:rsidRPr="00E906B7">
        <w:rPr>
          <w:rFonts w:ascii="Calibri" w:hAnsi="Calibri"/>
          <w:sz w:val="22"/>
          <w:szCs w:val="22"/>
        </w:rPr>
        <w:t xml:space="preserve"> of charities</w:t>
      </w:r>
      <w:r w:rsidR="00652CB6" w:rsidRPr="00E906B7">
        <w:rPr>
          <w:rFonts w:ascii="Calibri" w:hAnsi="Calibri"/>
          <w:sz w:val="22"/>
          <w:szCs w:val="22"/>
        </w:rPr>
        <w:t xml:space="preserve"> by HMRC in line with its guidance. In some cases, HMRC expects charities to follow its guidance as a matter of good practice, </w:t>
      </w:r>
      <w:r w:rsidR="00D358DF" w:rsidRPr="00E906B7">
        <w:rPr>
          <w:rFonts w:ascii="Calibri" w:hAnsi="Calibri"/>
          <w:sz w:val="22"/>
          <w:szCs w:val="22"/>
        </w:rPr>
        <w:t>without any clear statutory foundation</w:t>
      </w:r>
      <w:r w:rsidRPr="00E906B7">
        <w:rPr>
          <w:rFonts w:ascii="Calibri" w:hAnsi="Calibri"/>
          <w:sz w:val="22"/>
          <w:szCs w:val="22"/>
        </w:rPr>
        <w:t xml:space="preserve">. This has been seen in the context of HMRC encouraging charities to contact donors to reconfirm their Gift Aid eligibility, as part of a wider effort to ensure claims are correct and valid. </w:t>
      </w:r>
    </w:p>
    <w:p w:rsidR="001170BA" w:rsidRPr="001170BA" w:rsidRDefault="001170BA" w:rsidP="001170BA">
      <w:pPr>
        <w:pStyle w:val="ListParagraph"/>
        <w:rPr>
          <w:rFonts w:ascii="Calibri" w:hAnsi="Calibri"/>
          <w:sz w:val="22"/>
          <w:szCs w:val="22"/>
        </w:rPr>
      </w:pPr>
    </w:p>
    <w:p w:rsidR="00E906B7" w:rsidRPr="00E906B7" w:rsidRDefault="00E906B7" w:rsidP="00E906B7">
      <w:pPr>
        <w:pStyle w:val="ListParagraph"/>
        <w:numPr>
          <w:ilvl w:val="0"/>
          <w:numId w:val="12"/>
        </w:numPr>
        <w:spacing w:after="200"/>
        <w:ind w:left="426" w:hanging="426"/>
        <w:jc w:val="both"/>
        <w:rPr>
          <w:rFonts w:ascii="Calibri" w:hAnsi="Calibri"/>
          <w:sz w:val="22"/>
          <w:szCs w:val="22"/>
        </w:rPr>
      </w:pPr>
      <w:r w:rsidRPr="00E906B7">
        <w:rPr>
          <w:rFonts w:ascii="Calibri" w:hAnsi="Calibri"/>
          <w:sz w:val="22"/>
          <w:szCs w:val="22"/>
        </w:rPr>
        <w:t xml:space="preserve">We believe </w:t>
      </w:r>
      <w:r w:rsidRPr="00E906B7">
        <w:rPr>
          <w:rFonts w:ascii="Calibri" w:hAnsi="Calibri"/>
          <w:sz w:val="22"/>
          <w:szCs w:val="22"/>
        </w:rPr>
        <w:t>that there is</w:t>
      </w:r>
      <w:r w:rsidRPr="00E906B7">
        <w:rPr>
          <w:rFonts w:ascii="Calibri" w:hAnsi="Calibri"/>
          <w:sz w:val="22"/>
          <w:szCs w:val="22"/>
        </w:rPr>
        <w:t xml:space="preserve"> a general lack of awareness around the scope of this permissible contact</w:t>
      </w:r>
      <w:r w:rsidRPr="00E906B7">
        <w:rPr>
          <w:rFonts w:ascii="Calibri" w:hAnsi="Calibri"/>
          <w:sz w:val="22"/>
          <w:szCs w:val="22"/>
        </w:rPr>
        <w:t xml:space="preserve"> under the new Regulation</w:t>
      </w:r>
      <w:r w:rsidR="001170BA">
        <w:rPr>
          <w:rFonts w:ascii="Calibri" w:hAnsi="Calibri"/>
          <w:sz w:val="22"/>
          <w:szCs w:val="22"/>
        </w:rPr>
        <w:t>s</w:t>
      </w:r>
      <w:bookmarkStart w:id="0" w:name="_GoBack"/>
      <w:bookmarkEnd w:id="0"/>
      <w:r w:rsidRPr="00E906B7">
        <w:rPr>
          <w:rFonts w:ascii="Calibri" w:hAnsi="Calibri"/>
          <w:sz w:val="22"/>
          <w:szCs w:val="22"/>
        </w:rPr>
        <w:t xml:space="preserve">, namely the requirements for neutral language and no additional </w:t>
      </w:r>
      <w:r w:rsidRPr="00E906B7">
        <w:rPr>
          <w:rFonts w:ascii="Calibri" w:hAnsi="Calibri"/>
          <w:sz w:val="22"/>
          <w:szCs w:val="22"/>
        </w:rPr>
        <w:t>non-processing motivations</w:t>
      </w:r>
      <w:r w:rsidRPr="00E906B7">
        <w:rPr>
          <w:rFonts w:ascii="Calibri" w:hAnsi="Calibri"/>
          <w:sz w:val="22"/>
          <w:szCs w:val="22"/>
        </w:rPr>
        <w:t xml:space="preserve"> (</w:t>
      </w:r>
      <w:proofErr w:type="spellStart"/>
      <w:r w:rsidRPr="00E906B7">
        <w:rPr>
          <w:rFonts w:ascii="Calibri" w:hAnsi="Calibri"/>
          <w:sz w:val="22"/>
          <w:szCs w:val="22"/>
        </w:rPr>
        <w:t>ie</w:t>
      </w:r>
      <w:proofErr w:type="spellEnd"/>
      <w:r w:rsidRPr="00E906B7">
        <w:rPr>
          <w:rFonts w:ascii="Calibri" w:hAnsi="Calibri"/>
          <w:sz w:val="22"/>
          <w:szCs w:val="22"/>
        </w:rPr>
        <w:t xml:space="preserve"> marketing or even thanking donors). Fundraisers inevitably want to cultivate positive relationships with donors and would benefit from clear guidance on what form contact relating to Gift Aid and other administrative processes can take.</w:t>
      </w:r>
    </w:p>
    <w:p w:rsidR="008B11E7" w:rsidRPr="003E0045" w:rsidRDefault="008B11E7" w:rsidP="009E08A4">
      <w:pPr>
        <w:spacing w:after="200"/>
        <w:jc w:val="both"/>
        <w:rPr>
          <w:rFonts w:ascii="Calibri" w:hAnsi="Calibri"/>
          <w:b/>
          <w:sz w:val="22"/>
          <w:szCs w:val="22"/>
        </w:rPr>
      </w:pPr>
      <w:r w:rsidRPr="003E0045">
        <w:rPr>
          <w:rFonts w:ascii="Calibri" w:hAnsi="Calibri"/>
          <w:b/>
          <w:sz w:val="22"/>
          <w:szCs w:val="22"/>
        </w:rPr>
        <w:t xml:space="preserve">CTG </w:t>
      </w:r>
      <w:r w:rsidR="003E0045" w:rsidRPr="003E0045">
        <w:rPr>
          <w:rFonts w:ascii="Calibri" w:hAnsi="Calibri"/>
          <w:b/>
          <w:sz w:val="22"/>
          <w:szCs w:val="22"/>
        </w:rPr>
        <w:t xml:space="preserve">– 10 May 2017 </w:t>
      </w:r>
    </w:p>
    <w:sectPr w:rsidR="008B11E7" w:rsidRPr="003E0045" w:rsidSect="00E804B6">
      <w:headerReference w:type="default" r:id="rId7"/>
      <w:footerReference w:type="default" r:id="rId8"/>
      <w:headerReference w:type="first" r:id="rId9"/>
      <w:footerReference w:type="first" r:id="rId10"/>
      <w:type w:val="continuous"/>
      <w:pgSz w:w="11906" w:h="16838" w:code="9"/>
      <w:pgMar w:top="1440" w:right="1440" w:bottom="1440" w:left="1440" w:header="22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F19" w:rsidRDefault="00436F19" w:rsidP="009F75C0">
      <w:r>
        <w:separator/>
      </w:r>
    </w:p>
  </w:endnote>
  <w:endnote w:type="continuationSeparator" w:id="0">
    <w:p w:rsidR="00436F19" w:rsidRDefault="00436F19" w:rsidP="009F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Light">
    <w:altName w:val="Times New Roman"/>
    <w:panose1 w:val="00000000000000000000"/>
    <w:charset w:val="00"/>
    <w:family w:val="roman"/>
    <w:notTrueType/>
    <w:pitch w:val="default"/>
    <w:sig w:usb0="00000003" w:usb1="00000000" w:usb2="00000000" w:usb3="00000000" w:csb0="00000001" w:csb1="00000000"/>
  </w:font>
  <w:font w:name="Lato">
    <w:altName w:val="Calibri"/>
    <w:charset w:val="00"/>
    <w:family w:val="auto"/>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4B6" w:rsidRPr="00E804B6" w:rsidRDefault="00E804B6" w:rsidP="00E804B6">
    <w:pPr>
      <w:pStyle w:val="Footer"/>
      <w:jc w:val="center"/>
      <w:rPr>
        <w:rFonts w:ascii="Calibri" w:hAnsi="Calibri"/>
        <w:sz w:val="22"/>
        <w:szCs w:val="22"/>
      </w:rPr>
    </w:pPr>
    <w:r w:rsidRPr="00E804B6">
      <w:rPr>
        <w:rFonts w:ascii="Calibri" w:hAnsi="Calibri"/>
        <w:sz w:val="22"/>
        <w:szCs w:val="22"/>
      </w:rPr>
      <w:fldChar w:fldCharType="begin"/>
    </w:r>
    <w:r w:rsidRPr="00E804B6">
      <w:rPr>
        <w:rFonts w:ascii="Calibri" w:hAnsi="Calibri"/>
        <w:sz w:val="22"/>
        <w:szCs w:val="22"/>
      </w:rPr>
      <w:instrText xml:space="preserve"> PAGE   \* MERGEFORMAT </w:instrText>
    </w:r>
    <w:r w:rsidRPr="00E804B6">
      <w:rPr>
        <w:rFonts w:ascii="Calibri" w:hAnsi="Calibri"/>
        <w:sz w:val="22"/>
        <w:szCs w:val="22"/>
      </w:rPr>
      <w:fldChar w:fldCharType="separate"/>
    </w:r>
    <w:r w:rsidR="00E906B7">
      <w:rPr>
        <w:rFonts w:ascii="Calibri" w:hAnsi="Calibri"/>
        <w:noProof/>
        <w:sz w:val="22"/>
        <w:szCs w:val="22"/>
      </w:rPr>
      <w:t>2</w:t>
    </w:r>
    <w:r w:rsidRPr="00E804B6">
      <w:rPr>
        <w:rFonts w:ascii="Calibri" w:hAnsi="Calibr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75" w:rsidRDefault="007C6E12" w:rsidP="009F75C0">
    <w:pPr>
      <w:pStyle w:val="Footer"/>
    </w:pPr>
    <w:r>
      <w:rPr>
        <w:noProof/>
        <w:lang w:eastAsia="en-GB"/>
      </w:rPr>
      <w:drawing>
        <wp:anchor distT="0" distB="0" distL="114300" distR="114300" simplePos="0" relativeHeight="251656704" behindDoc="0" locked="0" layoutInCell="1" allowOverlap="1">
          <wp:simplePos x="0" y="0"/>
          <wp:positionH relativeFrom="page">
            <wp:posOffset>0</wp:posOffset>
          </wp:positionH>
          <wp:positionV relativeFrom="page">
            <wp:posOffset>9112250</wp:posOffset>
          </wp:positionV>
          <wp:extent cx="7581900" cy="1558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558925"/>
                  </a:xfrm>
                  <a:prstGeom prst="rect">
                    <a:avLst/>
                  </a:prstGeom>
                  <a:noFill/>
                </pic:spPr>
              </pic:pic>
            </a:graphicData>
          </a:graphic>
          <wp14:sizeRelH relativeFrom="margin">
            <wp14:pctWidth>0</wp14:pctWidth>
          </wp14:sizeRelH>
          <wp14:sizeRelV relativeFrom="margin">
            <wp14:pctHeight>0</wp14:pctHeight>
          </wp14:sizeRelV>
        </wp:anchor>
      </w:drawing>
    </w:r>
  </w:p>
  <w:p w:rsidR="00E804B6" w:rsidRDefault="00E804B6" w:rsidP="009F75C0">
    <w:pPr>
      <w:pStyle w:val="Footer"/>
    </w:pPr>
  </w:p>
  <w:p w:rsidR="00E804B6" w:rsidRDefault="00E804B6" w:rsidP="009F75C0">
    <w:pPr>
      <w:pStyle w:val="Footer"/>
    </w:pPr>
  </w:p>
  <w:p w:rsidR="00E804B6" w:rsidRDefault="00E804B6" w:rsidP="009F75C0">
    <w:pPr>
      <w:pStyle w:val="Footer"/>
    </w:pPr>
  </w:p>
  <w:p w:rsidR="00E804B6" w:rsidRDefault="00E804B6" w:rsidP="009F75C0">
    <w:pPr>
      <w:pStyle w:val="Footer"/>
    </w:pPr>
  </w:p>
  <w:p w:rsidR="00E804B6" w:rsidRDefault="00E804B6" w:rsidP="009F75C0">
    <w:pPr>
      <w:pStyle w:val="Footer"/>
    </w:pPr>
  </w:p>
  <w:p w:rsidR="00E804B6" w:rsidRDefault="00E804B6" w:rsidP="009F75C0">
    <w:pPr>
      <w:pStyle w:val="Footer"/>
    </w:pPr>
  </w:p>
  <w:p w:rsidR="00E804B6" w:rsidRDefault="00E804B6" w:rsidP="009F75C0">
    <w:pPr>
      <w:pStyle w:val="Footer"/>
    </w:pPr>
  </w:p>
  <w:p w:rsidR="00E804B6" w:rsidRDefault="00E804B6" w:rsidP="009F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F19" w:rsidRDefault="00436F19" w:rsidP="009F75C0">
      <w:r>
        <w:separator/>
      </w:r>
    </w:p>
  </w:footnote>
  <w:footnote w:type="continuationSeparator" w:id="0">
    <w:p w:rsidR="00436F19" w:rsidRDefault="00436F19" w:rsidP="009F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C5B" w:rsidRDefault="007C6E12">
    <w:pPr>
      <w:pStyle w:val="Header"/>
    </w:pPr>
    <w:r>
      <w:rPr>
        <w:noProof/>
        <w:lang w:eastAsia="en-GB"/>
      </w:rPr>
      <w:drawing>
        <wp:anchor distT="0" distB="0" distL="114300" distR="114300" simplePos="0" relativeHeight="251658752" behindDoc="1" locked="1" layoutInCell="1" allowOverlap="1">
          <wp:simplePos x="0" y="0"/>
          <wp:positionH relativeFrom="page">
            <wp:posOffset>0</wp:posOffset>
          </wp:positionH>
          <wp:positionV relativeFrom="page">
            <wp:posOffset>0</wp:posOffset>
          </wp:positionV>
          <wp:extent cx="7571105" cy="14833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483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175" w:rsidRDefault="007C6E12" w:rsidP="009F75C0">
    <w:pPr>
      <w:pStyle w:val="Header"/>
    </w:pPr>
    <w:r>
      <w:rPr>
        <w:noProof/>
        <w:lang w:eastAsia="en-GB"/>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71105" cy="14833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483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F113A"/>
    <w:multiLevelType w:val="hybridMultilevel"/>
    <w:tmpl w:val="085040A2"/>
    <w:lvl w:ilvl="0" w:tplc="ECECD16A">
      <w:start w:val="1"/>
      <w:numFmt w:val="bullet"/>
      <w:lvlText w:val=""/>
      <w:lvlJc w:val="left"/>
      <w:pPr>
        <w:ind w:left="720" w:hanging="360"/>
      </w:pPr>
      <w:rPr>
        <w:rFonts w:ascii="Wingdings" w:hAnsi="Wingdings" w:hint="default"/>
        <w:color w:val="00B3E4"/>
        <w:position w:val="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31086"/>
    <w:multiLevelType w:val="hybridMultilevel"/>
    <w:tmpl w:val="549C3C2C"/>
    <w:lvl w:ilvl="0" w:tplc="08090005">
      <w:start w:val="1"/>
      <w:numFmt w:val="bullet"/>
      <w:lvlText w:val=""/>
      <w:lvlJc w:val="left"/>
      <w:pPr>
        <w:ind w:left="720" w:hanging="360"/>
      </w:pPr>
      <w:rPr>
        <w:rFonts w:ascii="Wingdings" w:hAnsi="Wingdings" w:hint="default"/>
        <w:position w:val="2"/>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335EC"/>
    <w:multiLevelType w:val="hybridMultilevel"/>
    <w:tmpl w:val="1AEEA2CA"/>
    <w:lvl w:ilvl="0" w:tplc="B4BCFDF4">
      <w:start w:val="1"/>
      <w:numFmt w:val="bullet"/>
      <w:lvlText w:val=""/>
      <w:lvlJc w:val="left"/>
      <w:pPr>
        <w:ind w:left="720" w:hanging="360"/>
      </w:pPr>
      <w:rPr>
        <w:rFonts w:ascii="Symbol" w:hAnsi="Symbol" w:hint="default"/>
        <w:position w:val="2"/>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33B77"/>
    <w:multiLevelType w:val="hybridMultilevel"/>
    <w:tmpl w:val="C01A5BC8"/>
    <w:lvl w:ilvl="0" w:tplc="7AFC71E2">
      <w:start w:val="1"/>
      <w:numFmt w:val="bullet"/>
      <w:lvlText w:val=""/>
      <w:lvlJc w:val="left"/>
      <w:pPr>
        <w:ind w:left="0" w:hanging="360"/>
      </w:pPr>
      <w:rPr>
        <w:rFonts w:ascii="Wingdings" w:hAnsi="Wingdings" w:hint="default"/>
        <w:color w:val="00B3E4"/>
        <w:position w:val="2"/>
        <w:sz w:val="28"/>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40ED7D18"/>
    <w:multiLevelType w:val="hybridMultilevel"/>
    <w:tmpl w:val="9EDAB7D2"/>
    <w:lvl w:ilvl="0" w:tplc="725EECC2">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C134F"/>
    <w:multiLevelType w:val="hybridMultilevel"/>
    <w:tmpl w:val="8E76C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8E1D46"/>
    <w:multiLevelType w:val="hybridMultilevel"/>
    <w:tmpl w:val="967A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A21CF"/>
    <w:multiLevelType w:val="hybridMultilevel"/>
    <w:tmpl w:val="7DCA291A"/>
    <w:lvl w:ilvl="0" w:tplc="14880840">
      <w:start w:val="1"/>
      <w:numFmt w:val="bullet"/>
      <w:lvlText w:val=""/>
      <w:lvlJc w:val="left"/>
      <w:pPr>
        <w:ind w:left="720" w:hanging="360"/>
      </w:pPr>
      <w:rPr>
        <w:rFonts w:ascii="Wingdings" w:hAnsi="Wingdings" w:hint="default"/>
        <w:color w:val="00B3E4"/>
        <w:position w:val="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2C3A71"/>
    <w:multiLevelType w:val="hybridMultilevel"/>
    <w:tmpl w:val="7A743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lvlOverride w:ilvl="0">
      <w:startOverride w:val="1"/>
    </w:lvlOverride>
  </w:num>
  <w:num w:numId="5">
    <w:abstractNumId w:val="1"/>
  </w:num>
  <w:num w:numId="6">
    <w:abstractNumId w:val="0"/>
  </w:num>
  <w:num w:numId="7">
    <w:abstractNumId w:val="7"/>
  </w:num>
  <w:num w:numId="8">
    <w:abstractNumId w:val="3"/>
  </w:num>
  <w:num w:numId="9">
    <w:abstractNumId w:val="6"/>
  </w:num>
  <w:num w:numId="10">
    <w:abstractNumId w:val="4"/>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19"/>
    <w:rsid w:val="00091F09"/>
    <w:rsid w:val="000B5C21"/>
    <w:rsid w:val="00101285"/>
    <w:rsid w:val="001170BA"/>
    <w:rsid w:val="00187A6D"/>
    <w:rsid w:val="00193AD6"/>
    <w:rsid w:val="001C5EA9"/>
    <w:rsid w:val="001E12CE"/>
    <w:rsid w:val="00200170"/>
    <w:rsid w:val="002017AE"/>
    <w:rsid w:val="00255920"/>
    <w:rsid w:val="002A6C5B"/>
    <w:rsid w:val="002B441C"/>
    <w:rsid w:val="002E199D"/>
    <w:rsid w:val="00306D8D"/>
    <w:rsid w:val="00345831"/>
    <w:rsid w:val="003B43DF"/>
    <w:rsid w:val="003C5769"/>
    <w:rsid w:val="003E0045"/>
    <w:rsid w:val="00436F19"/>
    <w:rsid w:val="00573CD2"/>
    <w:rsid w:val="005973A1"/>
    <w:rsid w:val="00652CB6"/>
    <w:rsid w:val="00663EE4"/>
    <w:rsid w:val="00667C1C"/>
    <w:rsid w:val="0069474F"/>
    <w:rsid w:val="006A4257"/>
    <w:rsid w:val="006E285F"/>
    <w:rsid w:val="006E6C0E"/>
    <w:rsid w:val="006F4D17"/>
    <w:rsid w:val="00704ED4"/>
    <w:rsid w:val="00756EDD"/>
    <w:rsid w:val="0077214B"/>
    <w:rsid w:val="00786B59"/>
    <w:rsid w:val="00792A25"/>
    <w:rsid w:val="00797274"/>
    <w:rsid w:val="007A2664"/>
    <w:rsid w:val="007C6E12"/>
    <w:rsid w:val="008805D4"/>
    <w:rsid w:val="008B11E7"/>
    <w:rsid w:val="008E1AD5"/>
    <w:rsid w:val="008E54D4"/>
    <w:rsid w:val="00901459"/>
    <w:rsid w:val="00902476"/>
    <w:rsid w:val="00917A5B"/>
    <w:rsid w:val="00954CDA"/>
    <w:rsid w:val="009A541D"/>
    <w:rsid w:val="009E08A4"/>
    <w:rsid w:val="009E7CF7"/>
    <w:rsid w:val="009F75C0"/>
    <w:rsid w:val="00A03F36"/>
    <w:rsid w:val="00A113E2"/>
    <w:rsid w:val="00A250B3"/>
    <w:rsid w:val="00A36CF0"/>
    <w:rsid w:val="00A5249E"/>
    <w:rsid w:val="00AA4156"/>
    <w:rsid w:val="00AF0EFA"/>
    <w:rsid w:val="00AF7197"/>
    <w:rsid w:val="00B264EB"/>
    <w:rsid w:val="00B91EB2"/>
    <w:rsid w:val="00BA1E47"/>
    <w:rsid w:val="00BF3041"/>
    <w:rsid w:val="00C054D4"/>
    <w:rsid w:val="00C444FE"/>
    <w:rsid w:val="00C65352"/>
    <w:rsid w:val="00C83655"/>
    <w:rsid w:val="00CB713F"/>
    <w:rsid w:val="00CD2644"/>
    <w:rsid w:val="00D13C06"/>
    <w:rsid w:val="00D358DF"/>
    <w:rsid w:val="00D42717"/>
    <w:rsid w:val="00D67836"/>
    <w:rsid w:val="00DC6B5A"/>
    <w:rsid w:val="00DE541F"/>
    <w:rsid w:val="00DF22DB"/>
    <w:rsid w:val="00E02DA7"/>
    <w:rsid w:val="00E61F23"/>
    <w:rsid w:val="00E804B6"/>
    <w:rsid w:val="00E906B7"/>
    <w:rsid w:val="00E93D5B"/>
    <w:rsid w:val="00F245F6"/>
    <w:rsid w:val="00F74175"/>
    <w:rsid w:val="00FD1A32"/>
    <w:rsid w:val="00FD40CE"/>
    <w:rsid w:val="00FD4133"/>
    <w:rsid w:val="00FD6A6B"/>
    <w:rsid w:val="00FF7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6517E"/>
  <w15:chartTrackingRefBased/>
  <w15:docId w15:val="{74B1F83C-851E-4494-A1BB-B7526BA1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F75C0"/>
    <w:pPr>
      <w:spacing w:line="260" w:lineRule="exact"/>
    </w:pPr>
    <w:rPr>
      <w:rFonts w:ascii="Lato Light" w:hAnsi="Lato Light"/>
      <w:sz w:val="18"/>
      <w:szCs w:val="18"/>
      <w:lang w:eastAsia="en-US"/>
    </w:rPr>
  </w:style>
  <w:style w:type="paragraph" w:styleId="Heading1">
    <w:name w:val="heading 1"/>
    <w:aliases w:val="Reference"/>
    <w:basedOn w:val="Normal"/>
    <w:next w:val="Normal"/>
    <w:link w:val="Heading1Char"/>
    <w:uiPriority w:val="9"/>
    <w:qFormat/>
    <w:rsid w:val="00756EDD"/>
    <w:pPr>
      <w:keepNext/>
      <w:keepLines/>
      <w:outlineLvl w:val="0"/>
    </w:pPr>
    <w:rPr>
      <w:rFonts w:ascii="Lato" w:eastAsia="Times New Roman" w:hAnsi="Lato"/>
      <w:color w:val="000000"/>
      <w:sz w:val="20"/>
      <w:szCs w:val="20"/>
    </w:rPr>
  </w:style>
  <w:style w:type="paragraph" w:styleId="Heading2">
    <w:name w:val="heading 2"/>
    <w:basedOn w:val="Normal"/>
    <w:next w:val="Normal"/>
    <w:link w:val="Heading2Char"/>
    <w:uiPriority w:val="9"/>
    <w:qFormat/>
    <w:rsid w:val="00756EDD"/>
    <w:pPr>
      <w:outlineLvl w:val="1"/>
    </w:pPr>
    <w:rPr>
      <w:rFonts w:ascii="Lato" w:hAnsi="Lato"/>
      <w:i/>
      <w:sz w:val="20"/>
      <w:szCs w:val="20"/>
    </w:rPr>
  </w:style>
  <w:style w:type="paragraph" w:styleId="Heading3">
    <w:name w:val="heading 3"/>
    <w:basedOn w:val="Normal"/>
    <w:next w:val="Normal"/>
    <w:link w:val="Heading3Char"/>
    <w:uiPriority w:val="9"/>
    <w:qFormat/>
    <w:rsid w:val="00756EDD"/>
    <w:pPr>
      <w:outlineLvl w:val="2"/>
    </w:pPr>
    <w:rPr>
      <w:rFonts w:ascii="Lato" w:hAnsi="La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4D4"/>
    <w:pPr>
      <w:tabs>
        <w:tab w:val="center" w:pos="4513"/>
        <w:tab w:val="right" w:pos="9026"/>
      </w:tabs>
      <w:spacing w:line="240" w:lineRule="auto"/>
    </w:pPr>
  </w:style>
  <w:style w:type="character" w:customStyle="1" w:styleId="HeaderChar">
    <w:name w:val="Header Char"/>
    <w:basedOn w:val="DefaultParagraphFont"/>
    <w:link w:val="Header"/>
    <w:uiPriority w:val="99"/>
    <w:rsid w:val="00C054D4"/>
  </w:style>
  <w:style w:type="paragraph" w:styleId="Footer">
    <w:name w:val="footer"/>
    <w:basedOn w:val="Normal"/>
    <w:link w:val="FooterChar"/>
    <w:uiPriority w:val="99"/>
    <w:unhideWhenUsed/>
    <w:rsid w:val="00C054D4"/>
    <w:pPr>
      <w:tabs>
        <w:tab w:val="center" w:pos="4513"/>
        <w:tab w:val="right" w:pos="9026"/>
      </w:tabs>
      <w:spacing w:line="240" w:lineRule="auto"/>
    </w:pPr>
  </w:style>
  <w:style w:type="character" w:customStyle="1" w:styleId="FooterChar">
    <w:name w:val="Footer Char"/>
    <w:basedOn w:val="DefaultParagraphFont"/>
    <w:link w:val="Footer"/>
    <w:uiPriority w:val="99"/>
    <w:rsid w:val="00C054D4"/>
  </w:style>
  <w:style w:type="character" w:customStyle="1" w:styleId="Heading1Char">
    <w:name w:val="Heading 1 Char"/>
    <w:aliases w:val="Reference Char"/>
    <w:link w:val="Heading1"/>
    <w:uiPriority w:val="9"/>
    <w:rsid w:val="00756EDD"/>
    <w:rPr>
      <w:rFonts w:ascii="Lato" w:eastAsia="Times New Roman" w:hAnsi="Lato" w:cs="Times New Roman"/>
      <w:color w:val="000000"/>
      <w:sz w:val="20"/>
      <w:szCs w:val="20"/>
    </w:rPr>
  </w:style>
  <w:style w:type="paragraph" w:styleId="ListParagraph">
    <w:name w:val="List Paragraph"/>
    <w:basedOn w:val="Normal"/>
    <w:uiPriority w:val="34"/>
    <w:qFormat/>
    <w:rsid w:val="00D67836"/>
    <w:pPr>
      <w:ind w:left="720"/>
      <w:contextualSpacing/>
    </w:pPr>
  </w:style>
  <w:style w:type="paragraph" w:customStyle="1" w:styleId="Bullet">
    <w:name w:val="Bullet"/>
    <w:basedOn w:val="ListParagraph"/>
    <w:autoRedefine/>
    <w:rsid w:val="002A6C5B"/>
    <w:pPr>
      <w:numPr>
        <w:numId w:val="10"/>
      </w:numPr>
    </w:pPr>
    <w:rPr>
      <w:rFonts w:ascii="Calibri" w:hAnsi="Calibri"/>
      <w:color w:val="000000"/>
      <w:position w:val="6"/>
      <w:sz w:val="22"/>
    </w:rPr>
  </w:style>
  <w:style w:type="character" w:customStyle="1" w:styleId="Heading2Char">
    <w:name w:val="Heading 2 Char"/>
    <w:link w:val="Heading2"/>
    <w:uiPriority w:val="9"/>
    <w:rsid w:val="00756EDD"/>
    <w:rPr>
      <w:rFonts w:ascii="Lato" w:hAnsi="Lato"/>
      <w:i/>
      <w:sz w:val="20"/>
      <w:szCs w:val="20"/>
    </w:rPr>
  </w:style>
  <w:style w:type="character" w:customStyle="1" w:styleId="Heading3Char">
    <w:name w:val="Heading 3 Char"/>
    <w:link w:val="Heading3"/>
    <w:uiPriority w:val="9"/>
    <w:rsid w:val="00756EDD"/>
    <w:rPr>
      <w:rFonts w:ascii="Lato" w:hAnsi="Lato"/>
      <w:sz w:val="18"/>
      <w:szCs w:val="18"/>
    </w:rPr>
  </w:style>
  <w:style w:type="paragraph" w:styleId="NoSpacing">
    <w:name w:val="No Spacing"/>
    <w:uiPriority w:val="1"/>
    <w:qFormat/>
    <w:rsid w:val="00B91EB2"/>
    <w:rPr>
      <w:rFonts w:ascii="Lato Light" w:hAnsi="Lato Light"/>
      <w:sz w:val="18"/>
      <w:szCs w:val="18"/>
      <w:lang w:eastAsia="en-US"/>
    </w:rPr>
  </w:style>
  <w:style w:type="paragraph" w:styleId="NormalWeb">
    <w:name w:val="Normal (Web)"/>
    <w:basedOn w:val="Normal"/>
    <w:uiPriority w:val="99"/>
    <w:semiHidden/>
    <w:unhideWhenUsed/>
    <w:rsid w:val="00D358DF"/>
    <w:pPr>
      <w:spacing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92">
      <w:bodyDiv w:val="1"/>
      <w:marLeft w:val="0"/>
      <w:marRight w:val="0"/>
      <w:marTop w:val="0"/>
      <w:marBottom w:val="0"/>
      <w:divBdr>
        <w:top w:val="none" w:sz="0" w:space="0" w:color="auto"/>
        <w:left w:val="none" w:sz="0" w:space="0" w:color="auto"/>
        <w:bottom w:val="none" w:sz="0" w:space="0" w:color="auto"/>
        <w:right w:val="none" w:sz="0" w:space="0" w:color="auto"/>
      </w:divBdr>
    </w:div>
    <w:div w:id="219946421">
      <w:bodyDiv w:val="1"/>
      <w:marLeft w:val="0"/>
      <w:marRight w:val="0"/>
      <w:marTop w:val="0"/>
      <w:marBottom w:val="0"/>
      <w:divBdr>
        <w:top w:val="none" w:sz="0" w:space="0" w:color="auto"/>
        <w:left w:val="none" w:sz="0" w:space="0" w:color="auto"/>
        <w:bottom w:val="none" w:sz="0" w:space="0" w:color="auto"/>
        <w:right w:val="none" w:sz="0" w:space="0" w:color="auto"/>
      </w:divBdr>
    </w:div>
    <w:div w:id="775832964">
      <w:bodyDiv w:val="1"/>
      <w:marLeft w:val="0"/>
      <w:marRight w:val="0"/>
      <w:marTop w:val="0"/>
      <w:marBottom w:val="0"/>
      <w:divBdr>
        <w:top w:val="none" w:sz="0" w:space="0" w:color="auto"/>
        <w:left w:val="none" w:sz="0" w:space="0" w:color="auto"/>
        <w:bottom w:val="none" w:sz="0" w:space="0" w:color="auto"/>
        <w:right w:val="none" w:sz="0" w:space="0" w:color="auto"/>
      </w:divBdr>
    </w:div>
    <w:div w:id="857276711">
      <w:bodyDiv w:val="1"/>
      <w:marLeft w:val="0"/>
      <w:marRight w:val="0"/>
      <w:marTop w:val="0"/>
      <w:marBottom w:val="0"/>
      <w:divBdr>
        <w:top w:val="none" w:sz="0" w:space="0" w:color="auto"/>
        <w:left w:val="none" w:sz="0" w:space="0" w:color="auto"/>
        <w:bottom w:val="none" w:sz="0" w:space="0" w:color="auto"/>
        <w:right w:val="none" w:sz="0" w:space="0" w:color="auto"/>
      </w:divBdr>
    </w:div>
    <w:div w:id="1143884102">
      <w:bodyDiv w:val="1"/>
      <w:marLeft w:val="0"/>
      <w:marRight w:val="0"/>
      <w:marTop w:val="0"/>
      <w:marBottom w:val="0"/>
      <w:divBdr>
        <w:top w:val="none" w:sz="0" w:space="0" w:color="auto"/>
        <w:left w:val="none" w:sz="0" w:space="0" w:color="auto"/>
        <w:bottom w:val="none" w:sz="0" w:space="0" w:color="auto"/>
        <w:right w:val="none" w:sz="0" w:space="0" w:color="auto"/>
      </w:divBdr>
    </w:div>
    <w:div w:id="1174877403">
      <w:bodyDiv w:val="1"/>
      <w:marLeft w:val="0"/>
      <w:marRight w:val="0"/>
      <w:marTop w:val="0"/>
      <w:marBottom w:val="0"/>
      <w:divBdr>
        <w:top w:val="none" w:sz="0" w:space="0" w:color="auto"/>
        <w:left w:val="none" w:sz="0" w:space="0" w:color="auto"/>
        <w:bottom w:val="none" w:sz="0" w:space="0" w:color="auto"/>
        <w:right w:val="none" w:sz="0" w:space="0" w:color="auto"/>
      </w:divBdr>
    </w:div>
    <w:div w:id="1208832309">
      <w:bodyDiv w:val="1"/>
      <w:marLeft w:val="0"/>
      <w:marRight w:val="0"/>
      <w:marTop w:val="0"/>
      <w:marBottom w:val="0"/>
      <w:divBdr>
        <w:top w:val="none" w:sz="0" w:space="0" w:color="auto"/>
        <w:left w:val="none" w:sz="0" w:space="0" w:color="auto"/>
        <w:bottom w:val="none" w:sz="0" w:space="0" w:color="auto"/>
        <w:right w:val="none" w:sz="0" w:space="0" w:color="auto"/>
      </w:divBdr>
    </w:div>
    <w:div w:id="1465660843">
      <w:bodyDiv w:val="1"/>
      <w:marLeft w:val="0"/>
      <w:marRight w:val="0"/>
      <w:marTop w:val="0"/>
      <w:marBottom w:val="0"/>
      <w:divBdr>
        <w:top w:val="none" w:sz="0" w:space="0" w:color="auto"/>
        <w:left w:val="none" w:sz="0" w:space="0" w:color="auto"/>
        <w:bottom w:val="none" w:sz="0" w:space="0" w:color="auto"/>
        <w:right w:val="none" w:sz="0" w:space="0" w:color="auto"/>
      </w:divBdr>
    </w:div>
    <w:div w:id="1884443544">
      <w:bodyDiv w:val="1"/>
      <w:marLeft w:val="0"/>
      <w:marRight w:val="0"/>
      <w:marTop w:val="0"/>
      <w:marBottom w:val="0"/>
      <w:divBdr>
        <w:top w:val="none" w:sz="0" w:space="0" w:color="auto"/>
        <w:left w:val="none" w:sz="0" w:space="0" w:color="auto"/>
        <w:bottom w:val="none" w:sz="0" w:space="0" w:color="auto"/>
        <w:right w:val="none" w:sz="0" w:space="0" w:color="auto"/>
      </w:divBdr>
    </w:div>
    <w:div w:id="204991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k\Documents\Custom%20Office%20Templates\CTG%20Consultation%20Paper%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CTG Consultation Paper 2016</Template>
  <TotalTime>1</TotalTime>
  <Pages>1</Pages>
  <Words>376</Words>
  <Characters>2147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Intro</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c:title>
  <dc:subject/>
  <dc:creator>Nick Kenchington</dc:creator>
  <cp:keywords/>
  <dc:description/>
  <cp:lastModifiedBy>Chris</cp:lastModifiedBy>
  <cp:revision>2</cp:revision>
  <dcterms:created xsi:type="dcterms:W3CDTF">2017-05-10T09:45:00Z</dcterms:created>
  <dcterms:modified xsi:type="dcterms:W3CDTF">2017-05-10T09:45:00Z</dcterms:modified>
</cp:coreProperties>
</file>