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3C866" w14:textId="77777777" w:rsidR="00A63D01" w:rsidRDefault="00381F92" w:rsidP="00A63D01">
      <w:pPr>
        <w:jc w:val="center"/>
        <w:rPr>
          <w:rFonts w:ascii="Calibri" w:eastAsia="ヒラギノ角ゴ Pro W3" w:hAnsi="Calibri"/>
          <w:b/>
          <w:sz w:val="24"/>
        </w:rPr>
      </w:pPr>
      <w:r>
        <w:rPr>
          <w:rFonts w:ascii="Calibri" w:eastAsia="ヒラギノ角ゴ Pro W3" w:hAnsi="Calibri"/>
          <w:b/>
          <w:noProof/>
          <w:sz w:val="24"/>
        </w:rPr>
        <w:drawing>
          <wp:anchor distT="0" distB="0" distL="114300" distR="114300" simplePos="0" relativeHeight="251658240" behindDoc="0" locked="0" layoutInCell="1" allowOverlap="1" wp14:anchorId="6880161F" wp14:editId="14DD83B3">
            <wp:simplePos x="0" y="0"/>
            <wp:positionH relativeFrom="page">
              <wp:posOffset>2049780</wp:posOffset>
            </wp:positionH>
            <wp:positionV relativeFrom="page">
              <wp:posOffset>411480</wp:posOffset>
            </wp:positionV>
            <wp:extent cx="5000625" cy="895350"/>
            <wp:effectExtent l="0" t="0" r="0" b="0"/>
            <wp:wrapNone/>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l="20934"/>
                    <a:stretch>
                      <a:fillRect/>
                    </a:stretch>
                  </pic:blipFill>
                  <pic:spPr bwMode="auto">
                    <a:xfrm>
                      <a:off x="0" y="0"/>
                      <a:ext cx="5000625" cy="895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11214BD" wp14:editId="7DB25EAA">
            <wp:simplePos x="0" y="0"/>
            <wp:positionH relativeFrom="column">
              <wp:posOffset>-57785</wp:posOffset>
            </wp:positionH>
            <wp:positionV relativeFrom="paragraph">
              <wp:posOffset>-288925</wp:posOffset>
            </wp:positionV>
            <wp:extent cx="1283335" cy="965200"/>
            <wp:effectExtent l="0" t="0" r="0" b="0"/>
            <wp:wrapNone/>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3335" cy="965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ACBD47C" w14:textId="77777777" w:rsidR="007619FF" w:rsidRDefault="007619FF" w:rsidP="00A63D01">
      <w:pPr>
        <w:jc w:val="center"/>
        <w:rPr>
          <w:rFonts w:ascii="Calibri" w:eastAsia="ヒラギノ角ゴ Pro W3" w:hAnsi="Calibri"/>
          <w:b/>
          <w:sz w:val="24"/>
        </w:rPr>
      </w:pPr>
    </w:p>
    <w:p w14:paraId="08A37463" w14:textId="77777777" w:rsidR="007619FF" w:rsidRDefault="007619FF" w:rsidP="00A63D01">
      <w:pPr>
        <w:jc w:val="center"/>
        <w:rPr>
          <w:rFonts w:ascii="Calibri" w:eastAsia="ヒラギノ角ゴ Pro W3" w:hAnsi="Calibri"/>
          <w:b/>
          <w:sz w:val="24"/>
        </w:rPr>
      </w:pPr>
    </w:p>
    <w:p w14:paraId="01B4BD8E" w14:textId="77777777" w:rsidR="007619FF" w:rsidRDefault="007619FF" w:rsidP="00A63D01">
      <w:pPr>
        <w:jc w:val="center"/>
        <w:rPr>
          <w:rFonts w:ascii="Calibri" w:eastAsia="ヒラギノ角ゴ Pro W3" w:hAnsi="Calibri"/>
          <w:b/>
          <w:sz w:val="24"/>
        </w:rPr>
      </w:pPr>
    </w:p>
    <w:p w14:paraId="0DD89DEC" w14:textId="77777777" w:rsidR="007619FF" w:rsidRDefault="007619FF" w:rsidP="00A63D01">
      <w:pPr>
        <w:jc w:val="center"/>
        <w:rPr>
          <w:rFonts w:ascii="Calibri" w:eastAsia="ヒラギノ角ゴ Pro W3" w:hAnsi="Calibri"/>
          <w:b/>
          <w:sz w:val="24"/>
        </w:rPr>
      </w:pPr>
    </w:p>
    <w:p w14:paraId="4A2F1617" w14:textId="77777777" w:rsidR="003B5FDD" w:rsidRDefault="003B5FDD" w:rsidP="003B5FDD">
      <w:pPr>
        <w:jc w:val="center"/>
        <w:rPr>
          <w:rFonts w:ascii="Calibri" w:eastAsia="ヒラギノ角ゴ Pro W3" w:hAnsi="Calibri"/>
          <w:b/>
          <w:sz w:val="24"/>
        </w:rPr>
      </w:pPr>
      <w:r>
        <w:rPr>
          <w:rFonts w:ascii="Calibri" w:eastAsia="ヒラギノ角ゴ Pro W3" w:hAnsi="Calibri"/>
          <w:b/>
          <w:sz w:val="24"/>
        </w:rPr>
        <w:t>Commission Review of VAT Rates</w:t>
      </w:r>
    </w:p>
    <w:p w14:paraId="0B6F5969" w14:textId="77777777" w:rsidR="003B5FDD" w:rsidRDefault="003B5FDD" w:rsidP="003B5FDD">
      <w:pPr>
        <w:jc w:val="center"/>
        <w:rPr>
          <w:rFonts w:ascii="Calibri" w:eastAsia="ヒラギノ角ゴ Pro W3" w:hAnsi="Calibri"/>
          <w:b/>
          <w:sz w:val="24"/>
        </w:rPr>
      </w:pPr>
    </w:p>
    <w:p w14:paraId="49C5B795" w14:textId="77777777" w:rsidR="003B5FDD" w:rsidRDefault="003B5FDD" w:rsidP="003B5FDD">
      <w:pPr>
        <w:jc w:val="center"/>
        <w:rPr>
          <w:rFonts w:ascii="Calibri" w:eastAsia="ヒラギノ角ゴ Pro W3" w:hAnsi="Calibri"/>
          <w:b/>
          <w:sz w:val="24"/>
        </w:rPr>
      </w:pPr>
      <w:r>
        <w:rPr>
          <w:rFonts w:ascii="Calibri" w:eastAsia="ヒラギノ角ゴ Pro W3" w:hAnsi="Calibri"/>
          <w:b/>
          <w:sz w:val="24"/>
        </w:rPr>
        <w:t xml:space="preserve">Response by the European Charities Committee on VAT (ECCVAT) </w:t>
      </w:r>
    </w:p>
    <w:p w14:paraId="4120AFF0" w14:textId="77777777" w:rsidR="003B5FDD" w:rsidRDefault="003B5FDD" w:rsidP="003B5FDD">
      <w:pPr>
        <w:jc w:val="center"/>
        <w:rPr>
          <w:rFonts w:ascii="Calibri" w:eastAsia="ヒラギノ角ゴ Pro W3" w:hAnsi="Calibri"/>
          <w:b/>
          <w:sz w:val="24"/>
        </w:rPr>
      </w:pPr>
    </w:p>
    <w:p w14:paraId="1E0A57BE" w14:textId="77777777" w:rsidR="003B5FDD" w:rsidRPr="00DC1913" w:rsidRDefault="003B5FDD" w:rsidP="003B5FDD">
      <w:pPr>
        <w:jc w:val="center"/>
        <w:rPr>
          <w:rFonts w:ascii="Calibri" w:eastAsia="ヒラギノ角ゴ Pro W3" w:hAnsi="Calibri"/>
          <w:b/>
          <w:color w:val="000000"/>
          <w:sz w:val="24"/>
        </w:rPr>
      </w:pPr>
      <w:r>
        <w:rPr>
          <w:rFonts w:ascii="Calibri" w:eastAsia="ヒラギノ角ゴ Pro W3" w:hAnsi="Calibri"/>
          <w:b/>
          <w:sz w:val="24"/>
        </w:rPr>
        <w:t>March 2017</w:t>
      </w:r>
    </w:p>
    <w:p w14:paraId="0DD4C76D" w14:textId="77777777" w:rsidR="003B5FDD" w:rsidRDefault="003B5FDD" w:rsidP="00A63D01">
      <w:pPr>
        <w:jc w:val="center"/>
        <w:rPr>
          <w:rFonts w:ascii="Calibri" w:eastAsia="ヒラギノ角ゴ Pro W3" w:hAnsi="Calibri"/>
          <w:b/>
          <w:sz w:val="24"/>
        </w:rPr>
      </w:pPr>
    </w:p>
    <w:p w14:paraId="36F36B4D" w14:textId="77777777" w:rsidR="003B5FDD" w:rsidRPr="00DC1913" w:rsidRDefault="003B5FDD" w:rsidP="003B5FDD">
      <w:pPr>
        <w:rPr>
          <w:rFonts w:ascii="Calibri" w:hAnsi="Calibri"/>
          <w:b/>
          <w:szCs w:val="22"/>
        </w:rPr>
      </w:pPr>
      <w:r w:rsidRPr="00DC1913">
        <w:rPr>
          <w:rFonts w:ascii="Calibri" w:hAnsi="Calibri"/>
          <w:b/>
          <w:szCs w:val="22"/>
        </w:rPr>
        <w:t>Introduction</w:t>
      </w:r>
    </w:p>
    <w:p w14:paraId="3368467C" w14:textId="77777777" w:rsidR="003B5FDD" w:rsidRPr="00DC1913" w:rsidRDefault="003B5FDD" w:rsidP="003B5FDD">
      <w:pPr>
        <w:rPr>
          <w:rFonts w:ascii="Calibri" w:hAnsi="Calibri"/>
          <w:szCs w:val="22"/>
        </w:rPr>
      </w:pPr>
    </w:p>
    <w:p w14:paraId="4264D0E6" w14:textId="1D4D3605" w:rsidR="003B5FDD" w:rsidRDefault="003B5FDD" w:rsidP="00A944F9">
      <w:pPr>
        <w:numPr>
          <w:ilvl w:val="0"/>
          <w:numId w:val="2"/>
        </w:numPr>
        <w:tabs>
          <w:tab w:val="clear" w:pos="720"/>
          <w:tab w:val="num" w:pos="426"/>
        </w:tabs>
        <w:ind w:left="426" w:hanging="426"/>
        <w:rPr>
          <w:rFonts w:ascii="Calibri" w:hAnsi="Calibri"/>
          <w:szCs w:val="22"/>
        </w:rPr>
      </w:pPr>
      <w:r w:rsidRPr="003B5FDD">
        <w:rPr>
          <w:rFonts w:ascii="Calibri" w:hAnsi="Calibri"/>
          <w:szCs w:val="22"/>
        </w:rPr>
        <w:t>The European Charities' Committee on Value-Added Tax (ECCVAT) is a group of charities and foundations that has come together to research the impact of VAT and other taxes on the work of NGOs and to make representations to the EU institutions and governments on behalf of the sector. ECCVAT has been working to improve the VAT sy</w:t>
      </w:r>
      <w:r w:rsidR="001027D2">
        <w:rPr>
          <w:rFonts w:ascii="Calibri" w:hAnsi="Calibri"/>
          <w:szCs w:val="22"/>
        </w:rPr>
        <w:t xml:space="preserve">stem for charities since 1992. </w:t>
      </w:r>
      <w:r w:rsidRPr="003B5FDD">
        <w:rPr>
          <w:rFonts w:ascii="Calibri" w:hAnsi="Calibri"/>
          <w:szCs w:val="22"/>
        </w:rPr>
        <w:t xml:space="preserve">ECCVAT </w:t>
      </w:r>
      <w:r w:rsidR="004F7302">
        <w:rPr>
          <w:rFonts w:ascii="Calibri" w:hAnsi="Calibri"/>
          <w:szCs w:val="22"/>
        </w:rPr>
        <w:t>has sat as</w:t>
      </w:r>
      <w:r w:rsidRPr="003B5FDD">
        <w:rPr>
          <w:rFonts w:ascii="Calibri" w:hAnsi="Calibri"/>
          <w:szCs w:val="22"/>
        </w:rPr>
        <w:t xml:space="preserve"> an Observer to the Commission’s VAT Expert Group and has met regularly with DGTAXUD officials in recent years as part of the Commission’s review of the VAT system. </w:t>
      </w:r>
    </w:p>
    <w:p w14:paraId="30AED6D5" w14:textId="77777777" w:rsidR="003B5FDD" w:rsidRPr="003B5FDD" w:rsidRDefault="003B5FDD" w:rsidP="00C17C65">
      <w:pPr>
        <w:tabs>
          <w:tab w:val="num" w:pos="426"/>
        </w:tabs>
        <w:ind w:left="426"/>
        <w:rPr>
          <w:rFonts w:ascii="Calibri" w:hAnsi="Calibri"/>
          <w:szCs w:val="22"/>
        </w:rPr>
      </w:pPr>
    </w:p>
    <w:p w14:paraId="3E746399" w14:textId="77777777" w:rsidR="003B5FDD" w:rsidRPr="003B5FDD" w:rsidRDefault="003B5FDD" w:rsidP="00A944F9">
      <w:pPr>
        <w:numPr>
          <w:ilvl w:val="0"/>
          <w:numId w:val="2"/>
        </w:numPr>
        <w:tabs>
          <w:tab w:val="clear" w:pos="720"/>
          <w:tab w:val="num" w:pos="426"/>
        </w:tabs>
        <w:ind w:left="426" w:hanging="426"/>
        <w:rPr>
          <w:rFonts w:ascii="Calibri" w:hAnsi="Calibri"/>
          <w:szCs w:val="22"/>
        </w:rPr>
      </w:pPr>
      <w:r w:rsidRPr="003B5FDD">
        <w:rPr>
          <w:rFonts w:ascii="Calibri" w:hAnsi="Calibri"/>
          <w:szCs w:val="22"/>
        </w:rPr>
        <w:t xml:space="preserve">ECCVAT has been concerned about the impact of the VAT system on the work of charities for a long time and welcomes the opportunity to comment on this further in response to the Commission’s Review of VAT rates. </w:t>
      </w:r>
    </w:p>
    <w:p w14:paraId="121DC398" w14:textId="77777777" w:rsidR="003B5FDD" w:rsidRPr="003B5FDD" w:rsidRDefault="003B5FDD" w:rsidP="00C17C65">
      <w:pPr>
        <w:tabs>
          <w:tab w:val="num" w:pos="426"/>
        </w:tabs>
        <w:ind w:left="426"/>
        <w:rPr>
          <w:rFonts w:ascii="Calibri" w:hAnsi="Calibri"/>
          <w:szCs w:val="22"/>
        </w:rPr>
      </w:pPr>
    </w:p>
    <w:p w14:paraId="1AE55DFC" w14:textId="77777777" w:rsidR="003B5FDD" w:rsidRPr="003B5FDD" w:rsidRDefault="003B5FDD" w:rsidP="00A944F9">
      <w:pPr>
        <w:numPr>
          <w:ilvl w:val="0"/>
          <w:numId w:val="2"/>
        </w:numPr>
        <w:tabs>
          <w:tab w:val="clear" w:pos="720"/>
          <w:tab w:val="num" w:pos="426"/>
        </w:tabs>
        <w:ind w:left="426" w:hanging="426"/>
        <w:rPr>
          <w:rFonts w:ascii="Calibri" w:hAnsi="Calibri"/>
          <w:szCs w:val="22"/>
        </w:rPr>
      </w:pPr>
      <w:r w:rsidRPr="003B5FDD">
        <w:rPr>
          <w:rFonts w:ascii="Calibri" w:hAnsi="Calibri"/>
          <w:szCs w:val="22"/>
        </w:rPr>
        <w:t>Reference is made throughout this submission to “charities”.  This term is taken to include all public benefit organisations, including public benefit foundations as well as charitable organisations providing services that are either outside the scope of VAT or exempt.</w:t>
      </w:r>
    </w:p>
    <w:p w14:paraId="6C535620" w14:textId="77777777" w:rsidR="003B5FDD" w:rsidRPr="003B5FDD" w:rsidRDefault="003B5FDD" w:rsidP="00C17C65">
      <w:pPr>
        <w:ind w:left="426"/>
        <w:rPr>
          <w:rFonts w:ascii="Calibri" w:hAnsi="Calibri"/>
          <w:szCs w:val="22"/>
        </w:rPr>
      </w:pPr>
    </w:p>
    <w:p w14:paraId="541BF1B3" w14:textId="77777777" w:rsidR="003B5FDD" w:rsidRPr="00A944F9" w:rsidRDefault="003B5FDD" w:rsidP="00C17C65">
      <w:pPr>
        <w:rPr>
          <w:rFonts w:ascii="Calibri" w:hAnsi="Calibri"/>
          <w:b/>
          <w:bCs/>
          <w:i/>
          <w:iCs/>
          <w:szCs w:val="22"/>
          <w:lang w:eastAsia="en-US"/>
        </w:rPr>
      </w:pPr>
      <w:r w:rsidRPr="00A944F9">
        <w:rPr>
          <w:rFonts w:ascii="Calibri" w:hAnsi="Calibri"/>
          <w:b/>
          <w:bCs/>
          <w:i/>
          <w:iCs/>
          <w:szCs w:val="22"/>
          <w:lang w:eastAsia="en-US"/>
        </w:rPr>
        <w:t>Primary consultation questions</w:t>
      </w:r>
    </w:p>
    <w:p w14:paraId="4F144568" w14:textId="77777777" w:rsidR="003B5FDD" w:rsidRPr="00A944F9" w:rsidRDefault="003B5FDD" w:rsidP="00C17C65">
      <w:pPr>
        <w:rPr>
          <w:rFonts w:ascii="Calibri" w:hAnsi="Calibri"/>
          <w:szCs w:val="22"/>
          <w:lang w:eastAsia="en-US"/>
        </w:rPr>
      </w:pPr>
    </w:p>
    <w:p w14:paraId="57B77767" w14:textId="77777777" w:rsidR="003B5FDD" w:rsidRPr="00A944F9" w:rsidRDefault="003B5FDD" w:rsidP="00A944F9">
      <w:pPr>
        <w:numPr>
          <w:ilvl w:val="0"/>
          <w:numId w:val="5"/>
        </w:numPr>
        <w:ind w:left="426" w:hanging="426"/>
        <w:rPr>
          <w:rFonts w:ascii="Calibri" w:hAnsi="Calibri"/>
          <w:b/>
          <w:i/>
          <w:szCs w:val="22"/>
          <w:lang w:eastAsia="en-US"/>
        </w:rPr>
      </w:pPr>
      <w:bookmarkStart w:id="0" w:name="_GoBack"/>
      <w:r w:rsidRPr="00A944F9">
        <w:rPr>
          <w:rFonts w:ascii="Calibri" w:hAnsi="Calibri"/>
          <w:b/>
          <w:i/>
          <w:szCs w:val="22"/>
          <w:lang w:eastAsia="en-US"/>
        </w:rPr>
        <w:t>Currently, the list of goods and services eligible for reduced VAT rates is contained in Annex III of the VAT Directive. This list is not regularly updated. Is the range of goods and services eligible for reduced rate treatment adequate?</w:t>
      </w:r>
    </w:p>
    <w:p w14:paraId="346C9557" w14:textId="77777777" w:rsidR="003B5FDD" w:rsidRPr="00A944F9" w:rsidRDefault="003B5FDD" w:rsidP="00C17C65">
      <w:pPr>
        <w:rPr>
          <w:rFonts w:ascii="Calibri" w:eastAsia="Calibri" w:hAnsi="Calibri"/>
          <w:szCs w:val="22"/>
          <w:lang w:eastAsia="en-US"/>
        </w:rPr>
      </w:pPr>
    </w:p>
    <w:p w14:paraId="09E8E470" w14:textId="2428CD8B" w:rsidR="004F7302" w:rsidRDefault="00C17C65" w:rsidP="004F7302">
      <w:pPr>
        <w:numPr>
          <w:ilvl w:val="0"/>
          <w:numId w:val="4"/>
        </w:numPr>
        <w:ind w:left="426" w:hanging="426"/>
        <w:rPr>
          <w:rFonts w:ascii="Calibri" w:hAnsi="Calibri"/>
          <w:szCs w:val="22"/>
          <w:lang w:eastAsia="en-US"/>
        </w:rPr>
      </w:pPr>
      <w:r w:rsidRPr="00A944F9">
        <w:rPr>
          <w:rFonts w:ascii="Calibri" w:hAnsi="Calibri"/>
          <w:szCs w:val="22"/>
          <w:lang w:eastAsia="en-US"/>
        </w:rPr>
        <w:t xml:space="preserve">ECCVAT </w:t>
      </w:r>
      <w:r w:rsidR="00334DB1">
        <w:rPr>
          <w:rFonts w:ascii="Calibri" w:hAnsi="Calibri"/>
          <w:szCs w:val="22"/>
          <w:lang w:eastAsia="en-US"/>
        </w:rPr>
        <w:t xml:space="preserve">believes strongly that the list in Annex III should be reviewed more regularly to ensure that it is possible to introduce new reduced (and also super-reduced) rates for new services or </w:t>
      </w:r>
      <w:r w:rsidR="008541F4">
        <w:rPr>
          <w:rFonts w:ascii="Calibri" w:hAnsi="Calibri"/>
          <w:szCs w:val="22"/>
          <w:lang w:eastAsia="en-US"/>
        </w:rPr>
        <w:t xml:space="preserve">products, </w:t>
      </w:r>
      <w:r w:rsidR="00334DB1">
        <w:rPr>
          <w:rFonts w:ascii="Calibri" w:hAnsi="Calibri"/>
          <w:szCs w:val="22"/>
          <w:lang w:eastAsia="en-US"/>
        </w:rPr>
        <w:t xml:space="preserve">where it has clearly been identified that a new reduced rate would be socially beneficial.  </w:t>
      </w:r>
      <w:r w:rsidRPr="00A944F9">
        <w:rPr>
          <w:rFonts w:ascii="Calibri" w:hAnsi="Calibri"/>
          <w:szCs w:val="22"/>
          <w:lang w:eastAsia="en-US"/>
        </w:rPr>
        <w:t>The extension of reduced rates to digital publications, such as e-books</w:t>
      </w:r>
      <w:r w:rsidR="004F7302">
        <w:rPr>
          <w:rFonts w:ascii="Calibri" w:hAnsi="Calibri"/>
          <w:szCs w:val="22"/>
          <w:lang w:eastAsia="en-US"/>
        </w:rPr>
        <w:t xml:space="preserve"> </w:t>
      </w:r>
      <w:r w:rsidR="00334DB1">
        <w:rPr>
          <w:rFonts w:ascii="Calibri" w:hAnsi="Calibri"/>
          <w:szCs w:val="22"/>
          <w:lang w:eastAsia="en-US"/>
        </w:rPr>
        <w:t xml:space="preserve">is </w:t>
      </w:r>
      <w:r w:rsidRPr="00A944F9">
        <w:rPr>
          <w:rFonts w:ascii="Calibri" w:hAnsi="Calibri"/>
          <w:szCs w:val="22"/>
          <w:lang w:eastAsia="en-US"/>
        </w:rPr>
        <w:t xml:space="preserve">an example of </w:t>
      </w:r>
      <w:r w:rsidR="00334DB1">
        <w:rPr>
          <w:rFonts w:ascii="Calibri" w:hAnsi="Calibri"/>
          <w:szCs w:val="22"/>
          <w:lang w:eastAsia="en-US"/>
        </w:rPr>
        <w:t xml:space="preserve">a new product or service where </w:t>
      </w:r>
      <w:r w:rsidR="008541F4">
        <w:rPr>
          <w:rFonts w:ascii="Calibri" w:hAnsi="Calibri"/>
          <w:szCs w:val="22"/>
          <w:lang w:eastAsia="en-US"/>
        </w:rPr>
        <w:t xml:space="preserve">the introduction of </w:t>
      </w:r>
      <w:r w:rsidR="002151B7">
        <w:rPr>
          <w:rFonts w:ascii="Calibri" w:hAnsi="Calibri"/>
          <w:szCs w:val="22"/>
          <w:lang w:eastAsia="en-US"/>
        </w:rPr>
        <w:t>a reduced rate is important</w:t>
      </w:r>
      <w:r w:rsidRPr="00A944F9">
        <w:rPr>
          <w:rFonts w:ascii="Calibri" w:hAnsi="Calibri"/>
          <w:szCs w:val="22"/>
          <w:lang w:eastAsia="en-US"/>
        </w:rPr>
        <w:t xml:space="preserve">, to </w:t>
      </w:r>
      <w:r w:rsidR="003B5FDD" w:rsidRPr="00A944F9">
        <w:rPr>
          <w:rFonts w:ascii="Calibri" w:hAnsi="Calibri"/>
          <w:szCs w:val="22"/>
          <w:lang w:eastAsia="en-US"/>
        </w:rPr>
        <w:t xml:space="preserve">ensure </w:t>
      </w:r>
      <w:r w:rsidR="00334DB1">
        <w:rPr>
          <w:rFonts w:ascii="Calibri" w:hAnsi="Calibri"/>
          <w:szCs w:val="22"/>
          <w:lang w:eastAsia="en-US"/>
        </w:rPr>
        <w:t xml:space="preserve">consistency of treatment </w:t>
      </w:r>
      <w:r w:rsidR="003B5FDD" w:rsidRPr="00A944F9">
        <w:rPr>
          <w:rFonts w:ascii="Calibri" w:hAnsi="Calibri"/>
          <w:szCs w:val="22"/>
          <w:lang w:eastAsia="en-US"/>
        </w:rPr>
        <w:t xml:space="preserve">with printed materials. </w:t>
      </w:r>
      <w:r w:rsidR="00334DB1">
        <w:rPr>
          <w:rFonts w:ascii="Calibri" w:hAnsi="Calibri"/>
          <w:szCs w:val="22"/>
          <w:lang w:eastAsia="en-US"/>
        </w:rPr>
        <w:t>Equally</w:t>
      </w:r>
      <w:r w:rsidR="00EE6B78" w:rsidRPr="00A944F9">
        <w:rPr>
          <w:rFonts w:ascii="Calibri" w:hAnsi="Calibri"/>
          <w:szCs w:val="22"/>
          <w:lang w:eastAsia="en-US"/>
        </w:rPr>
        <w:t xml:space="preserve">, we </w:t>
      </w:r>
      <w:r w:rsidR="00334DB1">
        <w:rPr>
          <w:rFonts w:ascii="Calibri" w:hAnsi="Calibri"/>
          <w:szCs w:val="22"/>
          <w:lang w:eastAsia="en-US"/>
        </w:rPr>
        <w:t xml:space="preserve">believe that any proposal to remove </w:t>
      </w:r>
      <w:r w:rsidR="00EE6B78" w:rsidRPr="00A944F9">
        <w:rPr>
          <w:rFonts w:ascii="Calibri" w:hAnsi="Calibri"/>
          <w:szCs w:val="22"/>
          <w:lang w:eastAsia="en-US"/>
        </w:rPr>
        <w:t xml:space="preserve">existing reduced rates </w:t>
      </w:r>
      <w:r w:rsidR="00334DB1">
        <w:rPr>
          <w:rFonts w:ascii="Calibri" w:hAnsi="Calibri"/>
          <w:szCs w:val="22"/>
          <w:lang w:eastAsia="en-US"/>
        </w:rPr>
        <w:t xml:space="preserve">should be subject to full scrutiny as many of them are </w:t>
      </w:r>
      <w:r w:rsidR="00EE6B78" w:rsidRPr="00A944F9">
        <w:rPr>
          <w:rFonts w:ascii="Calibri" w:hAnsi="Calibri"/>
          <w:szCs w:val="22"/>
          <w:lang w:eastAsia="en-US"/>
        </w:rPr>
        <w:t>huge</w:t>
      </w:r>
      <w:r w:rsidR="00334DB1">
        <w:rPr>
          <w:rFonts w:ascii="Calibri" w:hAnsi="Calibri"/>
          <w:szCs w:val="22"/>
          <w:lang w:eastAsia="en-US"/>
        </w:rPr>
        <w:t>ly</w:t>
      </w:r>
      <w:r w:rsidR="00EE6B78" w:rsidRPr="00A944F9">
        <w:rPr>
          <w:rFonts w:ascii="Calibri" w:hAnsi="Calibri"/>
          <w:szCs w:val="22"/>
          <w:lang w:eastAsia="en-US"/>
        </w:rPr>
        <w:t xml:space="preserve"> valu</w:t>
      </w:r>
      <w:r w:rsidR="00334DB1">
        <w:rPr>
          <w:rFonts w:ascii="Calibri" w:hAnsi="Calibri"/>
          <w:szCs w:val="22"/>
          <w:lang w:eastAsia="en-US"/>
        </w:rPr>
        <w:t>able</w:t>
      </w:r>
      <w:r w:rsidR="00EE6B78" w:rsidRPr="00A944F9">
        <w:rPr>
          <w:rFonts w:ascii="Calibri" w:hAnsi="Calibri"/>
          <w:szCs w:val="22"/>
          <w:lang w:eastAsia="en-US"/>
        </w:rPr>
        <w:t xml:space="preserve"> to charities</w:t>
      </w:r>
      <w:r w:rsidR="00334DB1">
        <w:rPr>
          <w:rFonts w:ascii="Calibri" w:hAnsi="Calibri"/>
          <w:szCs w:val="22"/>
          <w:lang w:eastAsia="en-US"/>
        </w:rPr>
        <w:t xml:space="preserve"> and also to those to whom charities provide services</w:t>
      </w:r>
      <w:r w:rsidR="00EE6B78" w:rsidRPr="00A944F9">
        <w:rPr>
          <w:rFonts w:ascii="Calibri" w:hAnsi="Calibri"/>
          <w:szCs w:val="22"/>
          <w:lang w:eastAsia="en-US"/>
        </w:rPr>
        <w:t xml:space="preserve">. </w:t>
      </w:r>
    </w:p>
    <w:p w14:paraId="0B14AB65" w14:textId="77777777" w:rsidR="004F7302" w:rsidRDefault="004F7302" w:rsidP="004F7302">
      <w:pPr>
        <w:ind w:left="426"/>
        <w:rPr>
          <w:rFonts w:ascii="Calibri" w:hAnsi="Calibri"/>
          <w:szCs w:val="22"/>
          <w:lang w:eastAsia="en-US"/>
        </w:rPr>
      </w:pPr>
    </w:p>
    <w:p w14:paraId="47341C70" w14:textId="67F708AC" w:rsidR="004F7302" w:rsidRPr="004F7302" w:rsidRDefault="004F7302" w:rsidP="004F7302">
      <w:pPr>
        <w:numPr>
          <w:ilvl w:val="0"/>
          <w:numId w:val="4"/>
        </w:numPr>
        <w:ind w:left="426" w:hanging="426"/>
        <w:rPr>
          <w:rFonts w:ascii="Calibri" w:hAnsi="Calibri"/>
          <w:szCs w:val="22"/>
          <w:lang w:eastAsia="en-US"/>
        </w:rPr>
      </w:pPr>
      <w:r w:rsidRPr="004F7302">
        <w:rPr>
          <w:rFonts w:ascii="Calibri" w:hAnsi="Calibri"/>
          <w:szCs w:val="22"/>
          <w:lang w:eastAsia="en-US"/>
        </w:rPr>
        <w:t>ECCVAT is aware that detailed consideration was given in the early 1990s to the introduction of a reduced rate on supplies to charities (in addition to the reduced rate that was introduced for supplies by charities in point 15 of Annex III).  Given that this would help reduce the structural anomalies in the system that affect the work of charities, we urge the Commission to reconsider introducing this important reduced rate.  In this context, we would support the amendment of Point 15 of Annex III to remove the reference to being “engaged in welfare and social security work” as this restriction makes it very difficult for the reduced rate to be used effectively by Member States.</w:t>
      </w:r>
    </w:p>
    <w:p w14:paraId="36527DC1" w14:textId="77777777" w:rsidR="004F7302" w:rsidRDefault="004F7302" w:rsidP="004F7302">
      <w:pPr>
        <w:ind w:left="426"/>
        <w:rPr>
          <w:rFonts w:ascii="Calibri" w:hAnsi="Calibri"/>
          <w:szCs w:val="22"/>
          <w:lang w:eastAsia="en-US"/>
        </w:rPr>
      </w:pPr>
    </w:p>
    <w:p w14:paraId="373F3C33" w14:textId="76B00C96" w:rsidR="004F7302" w:rsidRDefault="004F7302" w:rsidP="00EE6B78">
      <w:pPr>
        <w:ind w:left="426"/>
        <w:rPr>
          <w:rFonts w:ascii="Calibri" w:hAnsi="Calibri"/>
          <w:szCs w:val="22"/>
          <w:shd w:val="clear" w:color="auto" w:fill="FFFF00"/>
        </w:rPr>
      </w:pPr>
    </w:p>
    <w:p w14:paraId="5ADFDF89" w14:textId="77777777" w:rsidR="004F7302" w:rsidRPr="008541F4" w:rsidRDefault="004F7302" w:rsidP="00EE6B78">
      <w:pPr>
        <w:ind w:left="426"/>
        <w:rPr>
          <w:rFonts w:ascii="Calibri" w:hAnsi="Calibri"/>
          <w:szCs w:val="22"/>
          <w:shd w:val="clear" w:color="auto" w:fill="FFFFFF"/>
        </w:rPr>
      </w:pPr>
    </w:p>
    <w:p w14:paraId="21904BD7" w14:textId="77777777" w:rsidR="003B5FDD" w:rsidRPr="00A944F9" w:rsidRDefault="003B5FDD" w:rsidP="00A944F9">
      <w:pPr>
        <w:numPr>
          <w:ilvl w:val="0"/>
          <w:numId w:val="5"/>
        </w:numPr>
        <w:ind w:left="426" w:hanging="426"/>
        <w:rPr>
          <w:rFonts w:ascii="Calibri" w:hAnsi="Calibri"/>
          <w:b/>
          <w:i/>
          <w:szCs w:val="22"/>
          <w:lang w:eastAsia="en-US"/>
        </w:rPr>
      </w:pPr>
      <w:r w:rsidRPr="00A944F9">
        <w:rPr>
          <w:rFonts w:ascii="Calibri" w:hAnsi="Calibri"/>
          <w:b/>
          <w:i/>
          <w:szCs w:val="22"/>
          <w:lang w:eastAsia="en-US"/>
        </w:rPr>
        <w:t>In most cases, current rules limit the possible difference in VAT rates within one Member State or between Member States. Sometimes, however, the differences can be relatively large, for example when a Member State has received a specific derogation allowing it to apply super-reduced rates of less than 5% or a zero rate, whereas other Member States apply a standard rate. Are you aware of any distortion of competition resulting from the application of a reduced, super-reduced or zero rate?</w:t>
      </w:r>
    </w:p>
    <w:p w14:paraId="37BA354C" w14:textId="77777777" w:rsidR="003B5FDD" w:rsidRPr="00A944F9" w:rsidRDefault="003B5FDD" w:rsidP="00C17C65">
      <w:pPr>
        <w:ind w:left="720"/>
        <w:rPr>
          <w:rFonts w:ascii="Calibri" w:eastAsia="Calibri" w:hAnsi="Calibri"/>
          <w:szCs w:val="22"/>
          <w:lang w:eastAsia="en-US"/>
        </w:rPr>
      </w:pPr>
    </w:p>
    <w:p w14:paraId="4A844581" w14:textId="0C7486BC" w:rsidR="00DA7D9D" w:rsidRPr="004F7302" w:rsidRDefault="00374792" w:rsidP="004F7302">
      <w:pPr>
        <w:numPr>
          <w:ilvl w:val="0"/>
          <w:numId w:val="13"/>
        </w:numPr>
        <w:ind w:left="426" w:hanging="426"/>
        <w:rPr>
          <w:rFonts w:ascii="Calibri" w:hAnsi="Calibri"/>
          <w:szCs w:val="22"/>
          <w:lang w:eastAsia="en-US"/>
        </w:rPr>
      </w:pPr>
      <w:r w:rsidRPr="00A944F9">
        <w:rPr>
          <w:rFonts w:ascii="Calibri" w:hAnsi="Calibri"/>
          <w:szCs w:val="22"/>
          <w:lang w:eastAsia="en-US"/>
        </w:rPr>
        <w:t>ECCVAT is not aware of any distortion of competition resulting from the application of a reduced</w:t>
      </w:r>
      <w:r w:rsidR="00381F92">
        <w:rPr>
          <w:rFonts w:ascii="Calibri" w:hAnsi="Calibri"/>
          <w:szCs w:val="22"/>
          <w:lang w:eastAsia="en-US"/>
        </w:rPr>
        <w:t>,</w:t>
      </w:r>
      <w:r w:rsidRPr="00A944F9">
        <w:rPr>
          <w:rFonts w:ascii="Calibri" w:hAnsi="Calibri"/>
          <w:szCs w:val="22"/>
          <w:lang w:eastAsia="en-US"/>
        </w:rPr>
        <w:t xml:space="preserve"> super-reduced or zero rate</w:t>
      </w:r>
      <w:r w:rsidR="00342C96">
        <w:rPr>
          <w:rFonts w:ascii="Calibri" w:hAnsi="Calibri"/>
          <w:szCs w:val="22"/>
          <w:lang w:eastAsia="en-US"/>
        </w:rPr>
        <w:t xml:space="preserve">, </w:t>
      </w:r>
      <w:r w:rsidR="009711A7">
        <w:rPr>
          <w:rFonts w:ascii="Calibri" w:hAnsi="Calibri"/>
          <w:szCs w:val="22"/>
          <w:lang w:eastAsia="en-US"/>
        </w:rPr>
        <w:t xml:space="preserve">insofar </w:t>
      </w:r>
      <w:r w:rsidR="00342C96">
        <w:rPr>
          <w:rFonts w:ascii="Calibri" w:hAnsi="Calibri"/>
          <w:szCs w:val="22"/>
          <w:lang w:eastAsia="en-US"/>
        </w:rPr>
        <w:t>as these rates are applied in the restricted area of public benefit transactions</w:t>
      </w:r>
      <w:r w:rsidRPr="00A944F9">
        <w:rPr>
          <w:rFonts w:ascii="Calibri" w:hAnsi="Calibri"/>
          <w:szCs w:val="22"/>
          <w:lang w:eastAsia="en-US"/>
        </w:rPr>
        <w:t xml:space="preserve">. </w:t>
      </w:r>
    </w:p>
    <w:p w14:paraId="4F6B531C" w14:textId="77777777" w:rsidR="00DA7D9D" w:rsidRPr="00A944F9" w:rsidRDefault="00DA7D9D" w:rsidP="00DA7D9D">
      <w:pPr>
        <w:rPr>
          <w:rFonts w:ascii="Calibri" w:eastAsia="Calibri" w:hAnsi="Calibri"/>
          <w:szCs w:val="22"/>
          <w:lang w:eastAsia="en-US"/>
        </w:rPr>
      </w:pPr>
    </w:p>
    <w:p w14:paraId="63602C91" w14:textId="77777777" w:rsidR="003B5FDD" w:rsidRPr="00A944F9" w:rsidRDefault="003B5FDD" w:rsidP="00A944F9">
      <w:pPr>
        <w:numPr>
          <w:ilvl w:val="0"/>
          <w:numId w:val="3"/>
        </w:numPr>
        <w:tabs>
          <w:tab w:val="clear" w:pos="720"/>
          <w:tab w:val="num" w:pos="426"/>
        </w:tabs>
        <w:ind w:left="426" w:hanging="426"/>
        <w:rPr>
          <w:rFonts w:ascii="Calibri" w:hAnsi="Calibri"/>
          <w:b/>
          <w:i/>
          <w:szCs w:val="22"/>
          <w:lang w:eastAsia="en-US"/>
        </w:rPr>
      </w:pPr>
      <w:r w:rsidRPr="00A944F9">
        <w:rPr>
          <w:rFonts w:ascii="Calibri" w:hAnsi="Calibri"/>
          <w:b/>
          <w:i/>
          <w:szCs w:val="22"/>
          <w:lang w:eastAsia="en-US"/>
        </w:rPr>
        <w:t>On the basis of your experience, do you think granting additional flexibility to Member States would create new distortions of competition?</w:t>
      </w:r>
    </w:p>
    <w:p w14:paraId="7B9A96E1" w14:textId="77777777" w:rsidR="003B5FDD" w:rsidRPr="00A944F9" w:rsidRDefault="003B5FDD" w:rsidP="00C17C65">
      <w:pPr>
        <w:rPr>
          <w:rFonts w:ascii="Calibri" w:eastAsia="Calibri" w:hAnsi="Calibri"/>
          <w:szCs w:val="22"/>
          <w:lang w:eastAsia="en-US"/>
        </w:rPr>
      </w:pPr>
    </w:p>
    <w:p w14:paraId="749B3EA1" w14:textId="2A666BDE" w:rsidR="003B5FDD" w:rsidRPr="00A944F9" w:rsidRDefault="009711A7" w:rsidP="004F7302">
      <w:pPr>
        <w:numPr>
          <w:ilvl w:val="0"/>
          <w:numId w:val="7"/>
        </w:numPr>
        <w:tabs>
          <w:tab w:val="clear" w:pos="720"/>
          <w:tab w:val="num" w:pos="426"/>
        </w:tabs>
        <w:ind w:left="426" w:hanging="426"/>
        <w:rPr>
          <w:rFonts w:ascii="Calibri" w:hAnsi="Calibri"/>
          <w:szCs w:val="22"/>
          <w:lang w:eastAsia="en-US"/>
        </w:rPr>
      </w:pPr>
      <w:r>
        <w:rPr>
          <w:rFonts w:ascii="Calibri" w:hAnsi="Calibri"/>
          <w:szCs w:val="22"/>
          <w:lang w:eastAsia="en-US"/>
        </w:rPr>
        <w:t xml:space="preserve">No, </w:t>
      </w:r>
      <w:r w:rsidR="00DA7D9D" w:rsidRPr="00A944F9">
        <w:rPr>
          <w:rFonts w:ascii="Calibri" w:hAnsi="Calibri"/>
          <w:szCs w:val="22"/>
          <w:lang w:eastAsia="en-US"/>
        </w:rPr>
        <w:t xml:space="preserve">ECCVAT does not believe that granting additional flexibility to Member States will create new distortions of competition. </w:t>
      </w:r>
      <w:r>
        <w:rPr>
          <w:rFonts w:ascii="Calibri" w:hAnsi="Calibri"/>
          <w:szCs w:val="22"/>
          <w:lang w:eastAsia="en-US"/>
        </w:rPr>
        <w:t xml:space="preserve"> On the contrary, we believe that giving Member States flexibility will</w:t>
      </w:r>
      <w:r w:rsidR="005B11E1">
        <w:rPr>
          <w:rFonts w:ascii="Calibri" w:hAnsi="Calibri"/>
          <w:szCs w:val="22"/>
          <w:lang w:eastAsia="en-US"/>
        </w:rPr>
        <w:t xml:space="preserve"> potentially help resolve some of the current significant </w:t>
      </w:r>
      <w:r w:rsidR="00D57EA1">
        <w:rPr>
          <w:rFonts w:ascii="Calibri" w:hAnsi="Calibri"/>
          <w:szCs w:val="22"/>
          <w:lang w:eastAsia="en-US"/>
        </w:rPr>
        <w:t>distortions</w:t>
      </w:r>
      <w:r w:rsidR="005B11E1">
        <w:rPr>
          <w:rFonts w:ascii="Calibri" w:hAnsi="Calibri"/>
          <w:szCs w:val="22"/>
          <w:lang w:eastAsia="en-US"/>
        </w:rPr>
        <w:t xml:space="preserve"> that charitable organisations face with the present VAT system.</w:t>
      </w:r>
    </w:p>
    <w:p w14:paraId="02BEA14D" w14:textId="77777777" w:rsidR="003B5FDD" w:rsidRPr="00A944F9" w:rsidRDefault="003B5FDD" w:rsidP="00C17C65">
      <w:pPr>
        <w:pStyle w:val="ListParagraph"/>
        <w:ind w:left="1440"/>
        <w:rPr>
          <w:rFonts w:ascii="Calibri" w:eastAsia="Calibri" w:hAnsi="Calibri"/>
          <w:szCs w:val="22"/>
          <w:lang w:eastAsia="en-US"/>
        </w:rPr>
      </w:pPr>
      <w:r w:rsidRPr="00A944F9">
        <w:rPr>
          <w:rFonts w:ascii="Calibri" w:hAnsi="Calibri"/>
          <w:szCs w:val="22"/>
          <w:lang w:eastAsia="en-US"/>
        </w:rPr>
        <w:t xml:space="preserve">               </w:t>
      </w:r>
    </w:p>
    <w:p w14:paraId="663EAF5B" w14:textId="77777777" w:rsidR="003B5FDD" w:rsidRPr="00A944F9" w:rsidRDefault="003B5FDD" w:rsidP="00A944F9">
      <w:pPr>
        <w:numPr>
          <w:ilvl w:val="0"/>
          <w:numId w:val="8"/>
        </w:numPr>
        <w:ind w:left="426" w:hanging="426"/>
        <w:rPr>
          <w:rFonts w:ascii="Calibri" w:hAnsi="Calibri"/>
          <w:b/>
          <w:i/>
          <w:szCs w:val="22"/>
          <w:lang w:eastAsia="en-US"/>
        </w:rPr>
      </w:pPr>
      <w:r w:rsidRPr="00A944F9">
        <w:rPr>
          <w:rFonts w:ascii="Calibri" w:hAnsi="Calibri"/>
          <w:b/>
          <w:i/>
          <w:szCs w:val="22"/>
          <w:lang w:eastAsia="en-US"/>
        </w:rPr>
        <w:t>The VAT directive establishes a minimum standard VAT rate of 15% and a list of goods and services which can be subject to a reduced rate of no less than 5%. This system offers harmonisation at EU level but in some cases may limit Member States choices in various ways, for example by ruling out a reduced VAT rate on certain goods or services or by setting a minimum level to the VAT rate. A reform could grant Member States greater room for manoeuvre in this regard. However, this might result in an increase in complexity, creating additional costs for businesses and generating legal uncertainty; this is because, in a destination based system, businesses in each Member State must generally apply the VAT rate applicable in the Member States where they are selling. What should the reform prioritise?</w:t>
      </w:r>
    </w:p>
    <w:p w14:paraId="0DDA3298" w14:textId="77777777" w:rsidR="003B5FDD" w:rsidRPr="00A944F9" w:rsidRDefault="003B5FDD" w:rsidP="00C17C65">
      <w:pPr>
        <w:ind w:left="720"/>
        <w:rPr>
          <w:rFonts w:ascii="Calibri" w:eastAsia="Calibri" w:hAnsi="Calibri"/>
          <w:szCs w:val="22"/>
          <w:lang w:eastAsia="en-US"/>
        </w:rPr>
      </w:pPr>
    </w:p>
    <w:p w14:paraId="06D3B75B" w14:textId="4445561A" w:rsidR="003B5FDD" w:rsidRPr="00D57EA1" w:rsidRDefault="00DA7D9D" w:rsidP="004F7302">
      <w:pPr>
        <w:numPr>
          <w:ilvl w:val="0"/>
          <w:numId w:val="14"/>
        </w:numPr>
        <w:tabs>
          <w:tab w:val="left" w:pos="426"/>
        </w:tabs>
        <w:ind w:left="426" w:hanging="426"/>
        <w:rPr>
          <w:rFonts w:ascii="Calibri" w:hAnsi="Calibri"/>
          <w:szCs w:val="22"/>
          <w:lang w:eastAsia="en-US"/>
        </w:rPr>
      </w:pPr>
      <w:r w:rsidRPr="00D57EA1">
        <w:rPr>
          <w:rFonts w:ascii="Calibri" w:hAnsi="Calibri"/>
          <w:szCs w:val="22"/>
          <w:lang w:eastAsia="en-US"/>
        </w:rPr>
        <w:t>ECCVAT</w:t>
      </w:r>
      <w:r w:rsidR="003B5FDD" w:rsidRPr="00D57EA1">
        <w:rPr>
          <w:rFonts w:ascii="Calibri" w:hAnsi="Calibri"/>
          <w:szCs w:val="22"/>
          <w:lang w:eastAsia="en-US"/>
        </w:rPr>
        <w:t xml:space="preserve"> support</w:t>
      </w:r>
      <w:r w:rsidRPr="00D57EA1">
        <w:rPr>
          <w:rFonts w:ascii="Calibri" w:hAnsi="Calibri"/>
          <w:szCs w:val="22"/>
          <w:lang w:eastAsia="en-US"/>
        </w:rPr>
        <w:t>s</w:t>
      </w:r>
      <w:r w:rsidR="003B5FDD" w:rsidRPr="00D57EA1">
        <w:rPr>
          <w:rFonts w:ascii="Calibri" w:hAnsi="Calibri"/>
          <w:szCs w:val="22"/>
          <w:lang w:eastAsia="en-US"/>
        </w:rPr>
        <w:t xml:space="preserve"> </w:t>
      </w:r>
      <w:r w:rsidR="009C616A" w:rsidRPr="00D57EA1">
        <w:rPr>
          <w:rFonts w:ascii="Calibri" w:hAnsi="Calibri"/>
          <w:szCs w:val="22"/>
          <w:lang w:eastAsia="en-US"/>
        </w:rPr>
        <w:t xml:space="preserve">the introduction of some greater </w:t>
      </w:r>
      <w:r w:rsidR="003B5FDD" w:rsidRPr="00D57EA1">
        <w:rPr>
          <w:rFonts w:ascii="Calibri" w:hAnsi="Calibri"/>
          <w:szCs w:val="22"/>
          <w:lang w:eastAsia="en-US"/>
        </w:rPr>
        <w:t>flexibility</w:t>
      </w:r>
      <w:r w:rsidR="009C616A" w:rsidRPr="00D57EA1">
        <w:rPr>
          <w:rFonts w:ascii="Calibri" w:hAnsi="Calibri"/>
          <w:szCs w:val="22"/>
          <w:lang w:eastAsia="en-US"/>
        </w:rPr>
        <w:t xml:space="preserve"> in the application of specific reduced, super-reduced and zero-rates </w:t>
      </w:r>
      <w:r w:rsidR="00C8507B" w:rsidRPr="00D57EA1">
        <w:rPr>
          <w:rFonts w:ascii="Calibri" w:hAnsi="Calibri"/>
          <w:szCs w:val="22"/>
          <w:lang w:eastAsia="en-US"/>
        </w:rPr>
        <w:t>and also to</w:t>
      </w:r>
      <w:r w:rsidR="009C616A" w:rsidRPr="00D57EA1">
        <w:rPr>
          <w:rFonts w:ascii="Calibri" w:hAnsi="Calibri"/>
          <w:szCs w:val="22"/>
          <w:lang w:eastAsia="en-US"/>
        </w:rPr>
        <w:t xml:space="preserve"> exemptions where </w:t>
      </w:r>
      <w:r w:rsidR="00C8507B" w:rsidRPr="00D57EA1">
        <w:rPr>
          <w:rFonts w:ascii="Calibri" w:hAnsi="Calibri"/>
          <w:szCs w:val="22"/>
          <w:lang w:eastAsia="en-US"/>
        </w:rPr>
        <w:t xml:space="preserve">they apply to services that are </w:t>
      </w:r>
      <w:r w:rsidR="009C616A" w:rsidRPr="00D57EA1">
        <w:rPr>
          <w:rFonts w:ascii="Calibri" w:hAnsi="Calibri"/>
          <w:szCs w:val="22"/>
          <w:lang w:eastAsia="en-US"/>
        </w:rPr>
        <w:t xml:space="preserve">deemed </w:t>
      </w:r>
      <w:r w:rsidR="00C8507B" w:rsidRPr="00D57EA1">
        <w:rPr>
          <w:rFonts w:ascii="Calibri" w:hAnsi="Calibri"/>
          <w:szCs w:val="22"/>
          <w:lang w:eastAsia="en-US"/>
        </w:rPr>
        <w:t xml:space="preserve">to be </w:t>
      </w:r>
      <w:r w:rsidR="009C616A" w:rsidRPr="00D57EA1">
        <w:rPr>
          <w:rFonts w:ascii="Calibri" w:hAnsi="Calibri"/>
          <w:szCs w:val="22"/>
          <w:lang w:eastAsia="en-US"/>
        </w:rPr>
        <w:t>socially beneficial</w:t>
      </w:r>
      <w:r w:rsidR="00C8507B" w:rsidRPr="00D57EA1">
        <w:rPr>
          <w:rFonts w:ascii="Calibri" w:hAnsi="Calibri"/>
          <w:szCs w:val="22"/>
          <w:lang w:eastAsia="en-US"/>
        </w:rPr>
        <w:t xml:space="preserve"> and w</w:t>
      </w:r>
      <w:r w:rsidR="009C616A" w:rsidRPr="00D57EA1">
        <w:rPr>
          <w:rFonts w:ascii="Calibri" w:hAnsi="Calibri"/>
          <w:szCs w:val="22"/>
          <w:lang w:eastAsia="en-US"/>
        </w:rPr>
        <w:t xml:space="preserve">e believe that any additional administrative costs </w:t>
      </w:r>
      <w:r w:rsidR="00C8507B" w:rsidRPr="00D57EA1">
        <w:rPr>
          <w:rFonts w:ascii="Calibri" w:hAnsi="Calibri"/>
          <w:szCs w:val="22"/>
          <w:lang w:eastAsia="en-US"/>
        </w:rPr>
        <w:t xml:space="preserve">that may arise from such flexibility </w:t>
      </w:r>
      <w:r w:rsidR="00E60219" w:rsidRPr="00D57EA1">
        <w:rPr>
          <w:rFonts w:ascii="Calibri" w:hAnsi="Calibri"/>
          <w:szCs w:val="22"/>
          <w:lang w:eastAsia="en-US"/>
        </w:rPr>
        <w:t xml:space="preserve">are likely to </w:t>
      </w:r>
      <w:r w:rsidR="009C616A" w:rsidRPr="00D57EA1">
        <w:rPr>
          <w:rFonts w:ascii="Calibri" w:hAnsi="Calibri"/>
          <w:szCs w:val="22"/>
          <w:lang w:eastAsia="en-US"/>
        </w:rPr>
        <w:t>be outweighed by the savings in irrecoverable VAT for charities.</w:t>
      </w:r>
      <w:r w:rsidR="00E60219" w:rsidRPr="00D57EA1">
        <w:rPr>
          <w:rFonts w:ascii="Calibri" w:hAnsi="Calibri"/>
          <w:szCs w:val="22"/>
          <w:lang w:eastAsia="en-US"/>
        </w:rPr>
        <w:t xml:space="preserve">  We do, however, </w:t>
      </w:r>
      <w:r w:rsidR="009C616A" w:rsidRPr="00D57EA1">
        <w:rPr>
          <w:rFonts w:ascii="Calibri" w:hAnsi="Calibri"/>
          <w:szCs w:val="22"/>
          <w:lang w:eastAsia="en-US"/>
        </w:rPr>
        <w:t xml:space="preserve">support </w:t>
      </w:r>
      <w:r w:rsidR="004F7302" w:rsidRPr="00D57EA1">
        <w:rPr>
          <w:rFonts w:ascii="Calibri" w:hAnsi="Calibri"/>
          <w:szCs w:val="22"/>
          <w:lang w:eastAsia="en-US"/>
        </w:rPr>
        <w:t xml:space="preserve">close </w:t>
      </w:r>
      <w:r w:rsidR="009C616A" w:rsidRPr="00D57EA1">
        <w:rPr>
          <w:rFonts w:ascii="Calibri" w:hAnsi="Calibri"/>
          <w:szCs w:val="22"/>
          <w:lang w:eastAsia="en-US"/>
        </w:rPr>
        <w:t xml:space="preserve">scrutiny by the Commission to </w:t>
      </w:r>
      <w:r w:rsidR="00E60219" w:rsidRPr="00D57EA1">
        <w:rPr>
          <w:rFonts w:ascii="Calibri" w:hAnsi="Calibri"/>
          <w:szCs w:val="22"/>
          <w:lang w:eastAsia="en-US"/>
        </w:rPr>
        <w:t xml:space="preserve">ensure that Member States do not use such flexibility to raise VAT rates significantly on goods and services that are recognised as being of social benefit.  </w:t>
      </w:r>
    </w:p>
    <w:p w14:paraId="032DD223" w14:textId="77777777" w:rsidR="003B5FDD" w:rsidRPr="00A944F9" w:rsidRDefault="003B5FDD" w:rsidP="00C17C65">
      <w:pPr>
        <w:ind w:left="720"/>
        <w:rPr>
          <w:rFonts w:ascii="Calibri" w:eastAsia="Calibri" w:hAnsi="Calibri"/>
          <w:szCs w:val="22"/>
          <w:lang w:eastAsia="en-US"/>
        </w:rPr>
      </w:pPr>
    </w:p>
    <w:p w14:paraId="0FE34569" w14:textId="77777777" w:rsidR="003B5FDD" w:rsidRPr="00A944F9" w:rsidRDefault="003B5FDD" w:rsidP="00A944F9">
      <w:pPr>
        <w:numPr>
          <w:ilvl w:val="0"/>
          <w:numId w:val="8"/>
        </w:numPr>
        <w:ind w:left="426" w:hanging="426"/>
        <w:rPr>
          <w:rFonts w:ascii="Calibri" w:hAnsi="Calibri"/>
          <w:b/>
          <w:i/>
          <w:szCs w:val="22"/>
          <w:lang w:eastAsia="en-US"/>
        </w:rPr>
      </w:pPr>
      <w:r w:rsidRPr="00A944F9">
        <w:rPr>
          <w:rFonts w:ascii="Calibri" w:hAnsi="Calibri"/>
          <w:b/>
          <w:i/>
          <w:szCs w:val="22"/>
          <w:lang w:eastAsia="en-US"/>
        </w:rPr>
        <w:t>The reform should propose a solution for the future of super-reduced rates. Many of these derogations were only granted on a temporary basis and are set to expire when the definitive regime is adopted. One option would be to extend the scope of super-reduced rates to all Member States. This would ensure equal treatment among them. However, this could add complication to the VAT system and introduce a risk of erosion of VAT revenues. A second option would be to remove the super-reduced rates from the VAT system; this would simplify the VAT system. However, it would require Member States to abolish the super-reduced rates already granted to specific sectors and revert to the normal regime. What is your view?</w:t>
      </w:r>
    </w:p>
    <w:p w14:paraId="1CEA8592" w14:textId="77777777" w:rsidR="003B5FDD" w:rsidRPr="00A944F9" w:rsidRDefault="003B5FDD" w:rsidP="00C17C65">
      <w:pPr>
        <w:rPr>
          <w:rFonts w:ascii="Calibri" w:eastAsia="Calibri" w:hAnsi="Calibri"/>
          <w:szCs w:val="22"/>
          <w:lang w:eastAsia="en-US"/>
        </w:rPr>
      </w:pPr>
    </w:p>
    <w:p w14:paraId="2A68A0AC" w14:textId="69163055" w:rsidR="00A11208" w:rsidRPr="004F7302" w:rsidRDefault="00A11208" w:rsidP="004F7302">
      <w:pPr>
        <w:numPr>
          <w:ilvl w:val="0"/>
          <w:numId w:val="15"/>
        </w:numPr>
        <w:ind w:left="426" w:hanging="426"/>
        <w:rPr>
          <w:rFonts w:ascii="Calibri" w:hAnsi="Calibri"/>
          <w:szCs w:val="22"/>
          <w:lang w:eastAsia="en-US"/>
        </w:rPr>
      </w:pPr>
      <w:r w:rsidRPr="00A944F9">
        <w:rPr>
          <w:rFonts w:ascii="Calibri" w:hAnsi="Calibri"/>
          <w:szCs w:val="22"/>
          <w:lang w:eastAsia="en-US"/>
        </w:rPr>
        <w:t>ECCVAT’s first priority is t</w:t>
      </w:r>
      <w:r w:rsidR="002151B7">
        <w:rPr>
          <w:rFonts w:ascii="Calibri" w:hAnsi="Calibri"/>
          <w:szCs w:val="22"/>
          <w:lang w:eastAsia="en-US"/>
        </w:rPr>
        <w:t>o ensure that the current super-</w:t>
      </w:r>
      <w:r w:rsidRPr="00A944F9">
        <w:rPr>
          <w:rFonts w:ascii="Calibri" w:hAnsi="Calibri"/>
          <w:szCs w:val="22"/>
          <w:lang w:eastAsia="en-US"/>
        </w:rPr>
        <w:t xml:space="preserve">reduced rates enjoyed by charities in </w:t>
      </w:r>
      <w:r w:rsidR="00C8507B">
        <w:rPr>
          <w:rFonts w:ascii="Calibri" w:hAnsi="Calibri"/>
          <w:szCs w:val="22"/>
          <w:lang w:eastAsia="en-US"/>
        </w:rPr>
        <w:t xml:space="preserve">various </w:t>
      </w:r>
      <w:r w:rsidRPr="00A944F9">
        <w:rPr>
          <w:rFonts w:ascii="Calibri" w:hAnsi="Calibri"/>
          <w:szCs w:val="22"/>
          <w:lang w:eastAsia="en-US"/>
        </w:rPr>
        <w:t>Member States are protected</w:t>
      </w:r>
      <w:r w:rsidR="00E82A86">
        <w:rPr>
          <w:rFonts w:ascii="Calibri" w:hAnsi="Calibri"/>
          <w:szCs w:val="22"/>
          <w:lang w:eastAsia="en-US"/>
        </w:rPr>
        <w:t>.</w:t>
      </w:r>
      <w:r w:rsidR="00342C96">
        <w:rPr>
          <w:rFonts w:ascii="Calibri" w:hAnsi="Calibri"/>
          <w:szCs w:val="22"/>
          <w:lang w:eastAsia="en-US"/>
        </w:rPr>
        <w:t xml:space="preserve"> </w:t>
      </w:r>
      <w:r w:rsidR="00C8507B">
        <w:rPr>
          <w:rFonts w:ascii="Calibri" w:hAnsi="Calibri"/>
          <w:szCs w:val="22"/>
          <w:lang w:eastAsia="en-US"/>
        </w:rPr>
        <w:t>Indeed, we would argue strongly that the super-reduced rates available to charities in some Member States should be extended to all Member States.  They have been demonstratively of significant social benefit in those Member States that use them and we believe that there is widespread public support for the extension of this benefit</w:t>
      </w:r>
      <w:r w:rsidR="00AF3DF5">
        <w:rPr>
          <w:rFonts w:ascii="Calibri" w:hAnsi="Calibri"/>
          <w:szCs w:val="22"/>
          <w:lang w:eastAsia="en-US"/>
        </w:rPr>
        <w:t xml:space="preserve"> throughout the EU</w:t>
      </w:r>
      <w:r w:rsidR="00C8507B">
        <w:rPr>
          <w:rFonts w:ascii="Calibri" w:hAnsi="Calibri"/>
          <w:szCs w:val="22"/>
          <w:lang w:eastAsia="en-US"/>
        </w:rPr>
        <w:t xml:space="preserve">. </w:t>
      </w:r>
      <w:r w:rsidR="00AF3DF5">
        <w:rPr>
          <w:rFonts w:ascii="Calibri" w:hAnsi="Calibri"/>
          <w:szCs w:val="22"/>
          <w:lang w:eastAsia="en-US"/>
        </w:rPr>
        <w:t xml:space="preserve">Their removal would add significant pressure on Government expenditure in </w:t>
      </w:r>
      <w:r w:rsidR="00AF3DF5">
        <w:rPr>
          <w:rFonts w:ascii="Calibri" w:hAnsi="Calibri"/>
          <w:szCs w:val="22"/>
          <w:lang w:eastAsia="en-US"/>
        </w:rPr>
        <w:lastRenderedPageBreak/>
        <w:t xml:space="preserve">those Member States that apply these rates.  </w:t>
      </w:r>
      <w:r w:rsidRPr="00A944F9">
        <w:rPr>
          <w:rFonts w:ascii="Calibri" w:hAnsi="Calibri"/>
          <w:szCs w:val="22"/>
          <w:lang w:eastAsia="en-US"/>
        </w:rPr>
        <w:t xml:space="preserve">ECCVAT is working with its members to quantify the public benefit value of existing </w:t>
      </w:r>
      <w:r w:rsidR="00AF3DF5" w:rsidRPr="00A944F9">
        <w:rPr>
          <w:rFonts w:ascii="Calibri" w:hAnsi="Calibri"/>
          <w:szCs w:val="22"/>
          <w:lang w:eastAsia="en-US"/>
        </w:rPr>
        <w:t>super</w:t>
      </w:r>
      <w:r w:rsidR="00AF3DF5">
        <w:rPr>
          <w:rFonts w:ascii="Calibri" w:hAnsi="Calibri"/>
          <w:szCs w:val="22"/>
          <w:lang w:eastAsia="en-US"/>
        </w:rPr>
        <w:t>-</w:t>
      </w:r>
      <w:r w:rsidRPr="00A944F9">
        <w:rPr>
          <w:rFonts w:ascii="Calibri" w:hAnsi="Calibri"/>
          <w:szCs w:val="22"/>
          <w:lang w:eastAsia="en-US"/>
        </w:rPr>
        <w:t>reduced rates</w:t>
      </w:r>
      <w:r w:rsidR="002151B7">
        <w:rPr>
          <w:rFonts w:ascii="Calibri" w:hAnsi="Calibri"/>
          <w:szCs w:val="22"/>
          <w:lang w:eastAsia="en-US"/>
        </w:rPr>
        <w:t>.</w:t>
      </w:r>
      <w:r w:rsidRPr="00A944F9">
        <w:rPr>
          <w:rFonts w:ascii="Calibri" w:hAnsi="Calibri"/>
          <w:szCs w:val="22"/>
          <w:lang w:eastAsia="en-US"/>
        </w:rPr>
        <w:t xml:space="preserve"> </w:t>
      </w:r>
    </w:p>
    <w:p w14:paraId="1DC82618" w14:textId="2ECB54B4" w:rsidR="003B5FDD" w:rsidRPr="00A944F9" w:rsidRDefault="003B5FDD" w:rsidP="002151B7">
      <w:pPr>
        <w:rPr>
          <w:rFonts w:ascii="Calibri" w:eastAsia="Calibri" w:hAnsi="Calibri"/>
          <w:szCs w:val="22"/>
          <w:lang w:eastAsia="en-US"/>
        </w:rPr>
      </w:pPr>
    </w:p>
    <w:p w14:paraId="226A2EA7" w14:textId="77777777" w:rsidR="003B5FDD" w:rsidRPr="00A944F9" w:rsidRDefault="003B5FDD" w:rsidP="00A944F9">
      <w:pPr>
        <w:numPr>
          <w:ilvl w:val="0"/>
          <w:numId w:val="8"/>
        </w:numPr>
        <w:ind w:left="426" w:hanging="426"/>
        <w:rPr>
          <w:rFonts w:ascii="Calibri" w:hAnsi="Calibri"/>
          <w:b/>
          <w:i/>
          <w:szCs w:val="22"/>
          <w:lang w:eastAsia="en-US"/>
        </w:rPr>
      </w:pPr>
      <w:r w:rsidRPr="00A944F9">
        <w:rPr>
          <w:rFonts w:ascii="Calibri" w:hAnsi="Calibri"/>
          <w:b/>
          <w:i/>
          <w:szCs w:val="22"/>
          <w:lang w:eastAsia="en-US"/>
        </w:rPr>
        <w:t>In the current system, Member States are only allowed to apply one standard rate to all transactions and two reduced rates to some transactions (with the exception of super-reduced rates which are specific derogations). A reform could increase the number of rates available to Member States. This would allow Member States greater flexibility, at the cost of introducing greater complication. Do you think Member States should also receive more flexibility regarding the number of rates they can apply (while remaining limited by the list for the application of reduced rates)?</w:t>
      </w:r>
    </w:p>
    <w:p w14:paraId="5E8C7E87" w14:textId="77777777" w:rsidR="003B5FDD" w:rsidRPr="00A944F9" w:rsidRDefault="003B5FDD" w:rsidP="00C17C65">
      <w:pPr>
        <w:rPr>
          <w:rFonts w:ascii="Calibri" w:eastAsia="Calibri" w:hAnsi="Calibri"/>
          <w:szCs w:val="22"/>
          <w:lang w:eastAsia="en-US"/>
        </w:rPr>
      </w:pPr>
    </w:p>
    <w:p w14:paraId="4EDEF448" w14:textId="0F229B63" w:rsidR="003B5FDD" w:rsidRPr="004F7302" w:rsidRDefault="00E82A86" w:rsidP="004F7302">
      <w:pPr>
        <w:numPr>
          <w:ilvl w:val="0"/>
          <w:numId w:val="16"/>
        </w:numPr>
        <w:tabs>
          <w:tab w:val="left" w:pos="426"/>
        </w:tabs>
        <w:ind w:left="426" w:hanging="426"/>
        <w:rPr>
          <w:rFonts w:ascii="Calibri" w:hAnsi="Calibri"/>
          <w:szCs w:val="22"/>
          <w:lang w:eastAsia="en-US"/>
        </w:rPr>
      </w:pPr>
      <w:r w:rsidRPr="004F7302">
        <w:rPr>
          <w:rFonts w:ascii="Calibri" w:hAnsi="Calibri"/>
          <w:szCs w:val="22"/>
          <w:lang w:eastAsia="en-US"/>
        </w:rPr>
        <w:t>ECCVAT’s preference</w:t>
      </w:r>
      <w:r w:rsidR="003B5FDD" w:rsidRPr="004F7302">
        <w:rPr>
          <w:rFonts w:ascii="Calibri" w:hAnsi="Calibri"/>
          <w:szCs w:val="22"/>
          <w:lang w:eastAsia="en-US"/>
        </w:rPr>
        <w:t xml:space="preserve"> is for the availability of reduced rates and zero rates</w:t>
      </w:r>
      <w:r w:rsidR="00055135" w:rsidRPr="004F7302">
        <w:rPr>
          <w:rFonts w:ascii="Calibri" w:hAnsi="Calibri"/>
          <w:szCs w:val="22"/>
          <w:lang w:eastAsia="en-US"/>
        </w:rPr>
        <w:t xml:space="preserve"> to be increased</w:t>
      </w:r>
      <w:r w:rsidRPr="004F7302">
        <w:rPr>
          <w:rFonts w:ascii="Calibri" w:hAnsi="Calibri"/>
          <w:szCs w:val="22"/>
          <w:lang w:eastAsia="en-US"/>
        </w:rPr>
        <w:t>,</w:t>
      </w:r>
      <w:r w:rsidR="003B5FDD" w:rsidRPr="004F7302">
        <w:rPr>
          <w:rFonts w:ascii="Calibri" w:hAnsi="Calibri"/>
          <w:szCs w:val="22"/>
          <w:lang w:eastAsia="en-US"/>
        </w:rPr>
        <w:t xml:space="preserve"> rather than </w:t>
      </w:r>
      <w:r w:rsidR="00055135" w:rsidRPr="004F7302">
        <w:rPr>
          <w:rFonts w:ascii="Calibri" w:hAnsi="Calibri"/>
          <w:szCs w:val="22"/>
          <w:lang w:eastAsia="en-US"/>
        </w:rPr>
        <w:t xml:space="preserve">having </w:t>
      </w:r>
      <w:r w:rsidR="003B5FDD" w:rsidRPr="004F7302">
        <w:rPr>
          <w:rFonts w:ascii="Calibri" w:hAnsi="Calibri"/>
          <w:szCs w:val="22"/>
          <w:lang w:eastAsia="en-US"/>
        </w:rPr>
        <w:t xml:space="preserve">lots of tailored rates. </w:t>
      </w:r>
      <w:r w:rsidR="00055135" w:rsidRPr="004F7302">
        <w:rPr>
          <w:rFonts w:ascii="Calibri" w:hAnsi="Calibri"/>
          <w:szCs w:val="22"/>
          <w:lang w:eastAsia="en-US"/>
        </w:rPr>
        <w:t xml:space="preserve">The latter </w:t>
      </w:r>
      <w:r w:rsidR="003B5FDD" w:rsidRPr="004F7302">
        <w:rPr>
          <w:rFonts w:ascii="Calibri" w:hAnsi="Calibri"/>
          <w:szCs w:val="22"/>
          <w:lang w:eastAsia="en-US"/>
        </w:rPr>
        <w:t xml:space="preserve">could cause administrative complexity for </w:t>
      </w:r>
      <w:r w:rsidR="00055135" w:rsidRPr="004F7302">
        <w:rPr>
          <w:rFonts w:ascii="Calibri" w:hAnsi="Calibri"/>
          <w:szCs w:val="22"/>
          <w:lang w:eastAsia="en-US"/>
        </w:rPr>
        <w:t xml:space="preserve">both </w:t>
      </w:r>
      <w:r w:rsidR="003B5FDD" w:rsidRPr="004F7302">
        <w:rPr>
          <w:rFonts w:ascii="Calibri" w:hAnsi="Calibri"/>
          <w:szCs w:val="22"/>
          <w:lang w:eastAsia="en-US"/>
        </w:rPr>
        <w:t xml:space="preserve">charities and </w:t>
      </w:r>
      <w:r w:rsidR="00055135" w:rsidRPr="004F7302">
        <w:rPr>
          <w:rFonts w:ascii="Calibri" w:hAnsi="Calibri"/>
          <w:szCs w:val="22"/>
          <w:lang w:eastAsia="en-US"/>
        </w:rPr>
        <w:t>their suppliers</w:t>
      </w:r>
      <w:r w:rsidR="003B5FDD" w:rsidRPr="004F7302">
        <w:rPr>
          <w:rFonts w:ascii="Calibri" w:hAnsi="Calibri"/>
          <w:szCs w:val="22"/>
          <w:lang w:eastAsia="en-US"/>
        </w:rPr>
        <w:t xml:space="preserve">. </w:t>
      </w:r>
      <w:r w:rsidR="00055135" w:rsidRPr="004F7302">
        <w:rPr>
          <w:rFonts w:ascii="Calibri" w:hAnsi="Calibri"/>
          <w:szCs w:val="22"/>
          <w:lang w:eastAsia="en-US"/>
        </w:rPr>
        <w:t xml:space="preserve">ECCVAT </w:t>
      </w:r>
      <w:r w:rsidR="00AF3DF5" w:rsidRPr="004F7302">
        <w:rPr>
          <w:rFonts w:ascii="Calibri" w:hAnsi="Calibri"/>
          <w:szCs w:val="22"/>
          <w:lang w:eastAsia="en-US"/>
        </w:rPr>
        <w:t>urges</w:t>
      </w:r>
      <w:r w:rsidR="00055135" w:rsidRPr="004F7302">
        <w:rPr>
          <w:rFonts w:ascii="Calibri" w:hAnsi="Calibri"/>
          <w:szCs w:val="22"/>
          <w:lang w:eastAsia="en-US"/>
        </w:rPr>
        <w:t xml:space="preserve"> greater</w:t>
      </w:r>
      <w:r w:rsidR="003B5FDD" w:rsidRPr="004F7302">
        <w:rPr>
          <w:rFonts w:ascii="Calibri" w:hAnsi="Calibri"/>
          <w:szCs w:val="22"/>
          <w:lang w:eastAsia="en-US"/>
        </w:rPr>
        <w:t xml:space="preserve"> choice as to what can be</w:t>
      </w:r>
      <w:r w:rsidR="002151B7">
        <w:rPr>
          <w:rFonts w:ascii="Calibri" w:hAnsi="Calibri"/>
          <w:szCs w:val="22"/>
          <w:lang w:eastAsia="en-US"/>
        </w:rPr>
        <w:t xml:space="preserve"> super reduced</w:t>
      </w:r>
      <w:r w:rsidR="00055135" w:rsidRPr="004F7302">
        <w:rPr>
          <w:rFonts w:ascii="Calibri" w:hAnsi="Calibri"/>
          <w:szCs w:val="22"/>
          <w:lang w:eastAsia="en-US"/>
        </w:rPr>
        <w:t>-</w:t>
      </w:r>
      <w:r w:rsidR="003B5FDD" w:rsidRPr="004F7302">
        <w:rPr>
          <w:rFonts w:ascii="Calibri" w:hAnsi="Calibri"/>
          <w:szCs w:val="22"/>
          <w:lang w:eastAsia="en-US"/>
        </w:rPr>
        <w:t xml:space="preserve"> and reduced</w:t>
      </w:r>
      <w:r w:rsidR="00055135" w:rsidRPr="004F7302">
        <w:rPr>
          <w:rFonts w:ascii="Calibri" w:hAnsi="Calibri"/>
          <w:szCs w:val="22"/>
          <w:lang w:eastAsia="en-US"/>
        </w:rPr>
        <w:t>-</w:t>
      </w:r>
      <w:r w:rsidR="003B5FDD" w:rsidRPr="004F7302">
        <w:rPr>
          <w:rFonts w:ascii="Calibri" w:hAnsi="Calibri"/>
          <w:szCs w:val="22"/>
          <w:lang w:eastAsia="en-US"/>
        </w:rPr>
        <w:t>rated</w:t>
      </w:r>
      <w:r w:rsidR="00055135" w:rsidRPr="004F7302">
        <w:rPr>
          <w:rFonts w:ascii="Calibri" w:hAnsi="Calibri"/>
          <w:szCs w:val="22"/>
          <w:lang w:eastAsia="en-US"/>
        </w:rPr>
        <w:t>,</w:t>
      </w:r>
      <w:r w:rsidR="003B5FDD" w:rsidRPr="004F7302">
        <w:rPr>
          <w:rFonts w:ascii="Calibri" w:hAnsi="Calibri"/>
          <w:szCs w:val="22"/>
          <w:lang w:eastAsia="en-US"/>
        </w:rPr>
        <w:t xml:space="preserve"> rather than introducing </w:t>
      </w:r>
      <w:r w:rsidR="003B5FDD" w:rsidRPr="002151B7">
        <w:rPr>
          <w:rFonts w:ascii="Calibri" w:hAnsi="Calibri"/>
          <w:i/>
          <w:szCs w:val="22"/>
          <w:lang w:eastAsia="en-US"/>
        </w:rPr>
        <w:t>ad hoc</w:t>
      </w:r>
      <w:r w:rsidR="003B5FDD" w:rsidRPr="004F7302">
        <w:rPr>
          <w:rFonts w:ascii="Calibri" w:hAnsi="Calibri"/>
          <w:szCs w:val="22"/>
          <w:lang w:eastAsia="en-US"/>
        </w:rPr>
        <w:t xml:space="preserve"> rates for different types of goods and service.</w:t>
      </w:r>
    </w:p>
    <w:p w14:paraId="5A4E55EE" w14:textId="77777777" w:rsidR="003B5FDD" w:rsidRPr="00A944F9" w:rsidRDefault="003B5FDD" w:rsidP="00C17C65">
      <w:pPr>
        <w:ind w:left="720"/>
        <w:rPr>
          <w:rFonts w:ascii="Calibri" w:eastAsia="Calibri" w:hAnsi="Calibri"/>
          <w:szCs w:val="22"/>
          <w:lang w:eastAsia="en-US"/>
        </w:rPr>
      </w:pPr>
    </w:p>
    <w:p w14:paraId="0A437B42" w14:textId="77777777" w:rsidR="003B5FDD" w:rsidRPr="00A944F9" w:rsidRDefault="003B5FDD" w:rsidP="00A944F9">
      <w:pPr>
        <w:numPr>
          <w:ilvl w:val="0"/>
          <w:numId w:val="8"/>
        </w:numPr>
        <w:ind w:left="426" w:hanging="426"/>
        <w:rPr>
          <w:rFonts w:ascii="Calibri" w:hAnsi="Calibri"/>
          <w:b/>
          <w:i/>
          <w:szCs w:val="22"/>
          <w:lang w:eastAsia="en-US"/>
        </w:rPr>
      </w:pPr>
      <w:r w:rsidRPr="00A944F9">
        <w:rPr>
          <w:rFonts w:ascii="Calibri" w:hAnsi="Calibri"/>
          <w:b/>
          <w:i/>
          <w:szCs w:val="22"/>
          <w:lang w:eastAsia="en-US"/>
        </w:rPr>
        <w:t>Should the 15% minimum for the standard rate be maintained?</w:t>
      </w:r>
    </w:p>
    <w:p w14:paraId="59DC46C0" w14:textId="77777777" w:rsidR="003B5FDD" w:rsidRPr="00A944F9" w:rsidRDefault="003B5FDD" w:rsidP="00C17C65">
      <w:pPr>
        <w:rPr>
          <w:rFonts w:ascii="Calibri" w:eastAsia="Calibri" w:hAnsi="Calibri"/>
          <w:szCs w:val="22"/>
          <w:lang w:eastAsia="en-US"/>
        </w:rPr>
      </w:pPr>
    </w:p>
    <w:p w14:paraId="7293214B" w14:textId="77777777" w:rsidR="003B5FDD" w:rsidRPr="004F7302" w:rsidRDefault="00E82A86" w:rsidP="004F7302">
      <w:pPr>
        <w:numPr>
          <w:ilvl w:val="0"/>
          <w:numId w:val="16"/>
        </w:numPr>
        <w:ind w:left="426" w:hanging="426"/>
        <w:rPr>
          <w:rFonts w:ascii="Calibri" w:hAnsi="Calibri"/>
          <w:szCs w:val="22"/>
          <w:lang w:eastAsia="en-US"/>
        </w:rPr>
      </w:pPr>
      <w:r w:rsidRPr="004F7302">
        <w:rPr>
          <w:rFonts w:ascii="Calibri" w:hAnsi="Calibri"/>
          <w:szCs w:val="22"/>
          <w:lang w:eastAsia="en-US"/>
        </w:rPr>
        <w:t>ECCVAT has no strong views on this.</w:t>
      </w:r>
    </w:p>
    <w:p w14:paraId="11712985" w14:textId="77777777" w:rsidR="003B5FDD" w:rsidRPr="00A944F9" w:rsidRDefault="003B5FDD" w:rsidP="00C17C65">
      <w:pPr>
        <w:ind w:left="720"/>
        <w:rPr>
          <w:rFonts w:ascii="Calibri" w:eastAsia="Calibri" w:hAnsi="Calibri"/>
          <w:szCs w:val="22"/>
          <w:lang w:eastAsia="en-US"/>
        </w:rPr>
      </w:pPr>
    </w:p>
    <w:p w14:paraId="3D527CC1" w14:textId="77777777" w:rsidR="003B5FDD" w:rsidRPr="00A944F9" w:rsidRDefault="003B5FDD" w:rsidP="00A944F9">
      <w:pPr>
        <w:numPr>
          <w:ilvl w:val="0"/>
          <w:numId w:val="8"/>
        </w:numPr>
        <w:ind w:left="426" w:hanging="426"/>
        <w:rPr>
          <w:rFonts w:ascii="Calibri" w:hAnsi="Calibri"/>
          <w:b/>
          <w:i/>
          <w:szCs w:val="22"/>
          <w:lang w:eastAsia="en-US"/>
        </w:rPr>
      </w:pPr>
      <w:r w:rsidRPr="00A944F9">
        <w:rPr>
          <w:rFonts w:ascii="Calibri" w:hAnsi="Calibri"/>
          <w:b/>
          <w:i/>
          <w:szCs w:val="22"/>
          <w:lang w:eastAsia="en-US"/>
        </w:rPr>
        <w:t xml:space="preserve">Should the 5% minimum for reduced rate be maintained? </w:t>
      </w:r>
    </w:p>
    <w:p w14:paraId="2088BCC0" w14:textId="77777777" w:rsidR="003B5FDD" w:rsidRPr="00A944F9" w:rsidRDefault="003B5FDD" w:rsidP="00C17C65">
      <w:pPr>
        <w:rPr>
          <w:rFonts w:ascii="Calibri" w:eastAsia="Calibri" w:hAnsi="Calibri"/>
          <w:szCs w:val="22"/>
          <w:lang w:eastAsia="en-US"/>
        </w:rPr>
      </w:pPr>
    </w:p>
    <w:p w14:paraId="38BDD3EA" w14:textId="5910582D" w:rsidR="003B5FDD" w:rsidRPr="004F7302" w:rsidRDefault="00055135" w:rsidP="004F7302">
      <w:pPr>
        <w:numPr>
          <w:ilvl w:val="0"/>
          <w:numId w:val="17"/>
        </w:numPr>
        <w:ind w:left="426" w:hanging="426"/>
        <w:rPr>
          <w:rFonts w:ascii="Calibri" w:hAnsi="Calibri"/>
          <w:szCs w:val="22"/>
          <w:lang w:eastAsia="en-US"/>
        </w:rPr>
      </w:pPr>
      <w:r w:rsidRPr="004F7302">
        <w:rPr>
          <w:rFonts w:ascii="Calibri" w:hAnsi="Calibri"/>
          <w:szCs w:val="22"/>
          <w:lang w:eastAsia="en-US"/>
        </w:rPr>
        <w:t>ECCVAT</w:t>
      </w:r>
      <w:r w:rsidR="003B5FDD" w:rsidRPr="004F7302">
        <w:rPr>
          <w:rFonts w:ascii="Calibri" w:hAnsi="Calibri"/>
          <w:szCs w:val="22"/>
          <w:lang w:eastAsia="en-US"/>
        </w:rPr>
        <w:t xml:space="preserve"> would prefer there to be permitted zero rates, rather than by derogation. </w:t>
      </w:r>
      <w:r w:rsidR="00AF3DF5" w:rsidRPr="004F7302">
        <w:rPr>
          <w:rFonts w:ascii="Calibri" w:hAnsi="Calibri"/>
          <w:szCs w:val="22"/>
          <w:lang w:eastAsia="en-US"/>
        </w:rPr>
        <w:t xml:space="preserve">The retention of a minimum standard rate of </w:t>
      </w:r>
      <w:r w:rsidR="003B5FDD" w:rsidRPr="004F7302">
        <w:rPr>
          <w:rFonts w:ascii="Calibri" w:hAnsi="Calibri"/>
          <w:szCs w:val="22"/>
          <w:lang w:eastAsia="en-US"/>
        </w:rPr>
        <w:t xml:space="preserve">5% </w:t>
      </w:r>
      <w:r w:rsidR="00AF3DF5" w:rsidRPr="004F7302">
        <w:rPr>
          <w:rFonts w:ascii="Calibri" w:hAnsi="Calibri"/>
          <w:szCs w:val="22"/>
          <w:lang w:eastAsia="en-US"/>
        </w:rPr>
        <w:t xml:space="preserve">without any permitted super-reduced rates could prove problematic for charities in the event that </w:t>
      </w:r>
      <w:r w:rsidR="003B5FDD" w:rsidRPr="004F7302">
        <w:rPr>
          <w:rFonts w:ascii="Calibri" w:hAnsi="Calibri"/>
          <w:szCs w:val="22"/>
          <w:lang w:eastAsia="en-US"/>
        </w:rPr>
        <w:t xml:space="preserve">exemptions </w:t>
      </w:r>
      <w:r w:rsidR="00AF3DF5" w:rsidRPr="004F7302">
        <w:rPr>
          <w:rFonts w:ascii="Calibri" w:hAnsi="Calibri"/>
          <w:szCs w:val="22"/>
          <w:lang w:eastAsia="en-US"/>
        </w:rPr>
        <w:t xml:space="preserve">were removed </w:t>
      </w:r>
      <w:r w:rsidR="003B5FDD" w:rsidRPr="004F7302">
        <w:rPr>
          <w:rFonts w:ascii="Calibri" w:hAnsi="Calibri"/>
          <w:szCs w:val="22"/>
          <w:lang w:eastAsia="en-US"/>
        </w:rPr>
        <w:t xml:space="preserve">and </w:t>
      </w:r>
      <w:r w:rsidR="00AF3DF5" w:rsidRPr="004F7302">
        <w:rPr>
          <w:rFonts w:ascii="Calibri" w:hAnsi="Calibri"/>
          <w:szCs w:val="22"/>
          <w:lang w:eastAsia="en-US"/>
        </w:rPr>
        <w:t xml:space="preserve">there was a </w:t>
      </w:r>
      <w:r w:rsidR="003B5FDD" w:rsidRPr="004F7302">
        <w:rPr>
          <w:rFonts w:ascii="Calibri" w:hAnsi="Calibri"/>
          <w:szCs w:val="22"/>
          <w:lang w:eastAsia="en-US"/>
        </w:rPr>
        <w:t>move to a full taxation model</w:t>
      </w:r>
      <w:r w:rsidR="00AF3DF5" w:rsidRPr="004F7302">
        <w:rPr>
          <w:rFonts w:ascii="Calibri" w:hAnsi="Calibri"/>
          <w:szCs w:val="22"/>
          <w:lang w:eastAsia="en-US"/>
        </w:rPr>
        <w:t xml:space="preserve">;  in such circumstances </w:t>
      </w:r>
      <w:r w:rsidR="003B5FDD" w:rsidRPr="004F7302">
        <w:rPr>
          <w:rFonts w:ascii="Calibri" w:hAnsi="Calibri"/>
          <w:szCs w:val="22"/>
          <w:lang w:eastAsia="en-US"/>
        </w:rPr>
        <w:t>it would be necessary for there to be a fiscally</w:t>
      </w:r>
      <w:r w:rsidR="00AF3DF5" w:rsidRPr="004F7302">
        <w:rPr>
          <w:rFonts w:ascii="Calibri" w:hAnsi="Calibri"/>
          <w:szCs w:val="22"/>
          <w:lang w:eastAsia="en-US"/>
        </w:rPr>
        <w:t>-</w:t>
      </w:r>
      <w:r w:rsidR="003B5FDD" w:rsidRPr="004F7302">
        <w:rPr>
          <w:rFonts w:ascii="Calibri" w:hAnsi="Calibri"/>
          <w:szCs w:val="22"/>
          <w:lang w:eastAsia="en-US"/>
        </w:rPr>
        <w:t>neutral super</w:t>
      </w:r>
      <w:r w:rsidR="00AF3DF5" w:rsidRPr="004F7302">
        <w:rPr>
          <w:rFonts w:ascii="Calibri" w:hAnsi="Calibri"/>
          <w:szCs w:val="22"/>
          <w:lang w:eastAsia="en-US"/>
        </w:rPr>
        <w:t>-</w:t>
      </w:r>
      <w:r w:rsidR="003B5FDD" w:rsidRPr="004F7302">
        <w:rPr>
          <w:rFonts w:ascii="Calibri" w:hAnsi="Calibri"/>
          <w:szCs w:val="22"/>
          <w:lang w:eastAsia="en-US"/>
        </w:rPr>
        <w:t>reduced rate</w:t>
      </w:r>
      <w:r w:rsidR="002151B7">
        <w:rPr>
          <w:rFonts w:ascii="Calibri" w:hAnsi="Calibri"/>
          <w:szCs w:val="22"/>
          <w:lang w:eastAsia="en-US"/>
        </w:rPr>
        <w:t>.</w:t>
      </w:r>
    </w:p>
    <w:p w14:paraId="65777A64" w14:textId="77777777" w:rsidR="003B5FDD" w:rsidRPr="00A944F9" w:rsidRDefault="003B5FDD" w:rsidP="00C17C65">
      <w:pPr>
        <w:ind w:left="720"/>
        <w:rPr>
          <w:rFonts w:ascii="Calibri" w:eastAsia="Calibri" w:hAnsi="Calibri"/>
          <w:szCs w:val="22"/>
          <w:lang w:eastAsia="en-US"/>
        </w:rPr>
      </w:pPr>
    </w:p>
    <w:p w14:paraId="339F4BFC" w14:textId="77777777" w:rsidR="003B5FDD" w:rsidRPr="00A944F9" w:rsidRDefault="003B5FDD" w:rsidP="00A944F9">
      <w:pPr>
        <w:numPr>
          <w:ilvl w:val="0"/>
          <w:numId w:val="8"/>
        </w:numPr>
        <w:ind w:left="426" w:hanging="426"/>
        <w:rPr>
          <w:rFonts w:ascii="Calibri" w:hAnsi="Calibri"/>
          <w:b/>
          <w:i/>
          <w:szCs w:val="22"/>
          <w:lang w:eastAsia="en-US"/>
        </w:rPr>
      </w:pPr>
      <w:r w:rsidRPr="00A944F9">
        <w:rPr>
          <w:rFonts w:ascii="Calibri" w:hAnsi="Calibri"/>
          <w:b/>
          <w:i/>
          <w:szCs w:val="22"/>
          <w:lang w:eastAsia="en-US"/>
        </w:rPr>
        <w:t>The Commission is now assessing two broad options for the reform of the VAT rate system. The first option aims to keep the standard VAT rate of 15% and update regularly the list of goods and services eligible for reduced rates, on the basis of Member States suggestions. The second option increases flexibility substantially by removing the minimum rate of 15% and abolishing the list, thus granting Member States large discretion to fix their VAT rate. Under both options all currently existing reduced rates, including derogations, legally applied in Member States would be maintained and made available to all Member States, ensuring equal treatment. Which of these two solutions would you prefer?</w:t>
      </w:r>
    </w:p>
    <w:p w14:paraId="0132CD7B" w14:textId="77777777" w:rsidR="003B5FDD" w:rsidRPr="00A944F9" w:rsidRDefault="003B5FDD" w:rsidP="00C17C65">
      <w:pPr>
        <w:rPr>
          <w:rFonts w:ascii="Calibri" w:eastAsia="Calibri" w:hAnsi="Calibri"/>
          <w:szCs w:val="22"/>
          <w:lang w:eastAsia="en-US"/>
        </w:rPr>
      </w:pPr>
    </w:p>
    <w:p w14:paraId="46509E25" w14:textId="21B58EAC" w:rsidR="001027D2" w:rsidRPr="001027D2" w:rsidRDefault="0035709A" w:rsidP="001027D2">
      <w:pPr>
        <w:numPr>
          <w:ilvl w:val="0"/>
          <w:numId w:val="17"/>
        </w:numPr>
        <w:ind w:left="426" w:hanging="426"/>
        <w:rPr>
          <w:rFonts w:ascii="Calibri" w:eastAsia="Calibri" w:hAnsi="Calibri"/>
          <w:szCs w:val="22"/>
          <w:lang w:eastAsia="en-US"/>
        </w:rPr>
      </w:pPr>
      <w:r w:rsidRPr="00A944F9">
        <w:rPr>
          <w:rFonts w:ascii="Calibri" w:hAnsi="Calibri"/>
          <w:szCs w:val="22"/>
          <w:lang w:eastAsia="en-US"/>
        </w:rPr>
        <w:t xml:space="preserve">ECCVAT </w:t>
      </w:r>
      <w:r w:rsidR="006C5475">
        <w:rPr>
          <w:rFonts w:ascii="Calibri" w:hAnsi="Calibri"/>
          <w:szCs w:val="22"/>
          <w:lang w:eastAsia="en-US"/>
        </w:rPr>
        <w:t>has been working for many years to address the problems for charities that are inherent in the current VAT system.  Clearly, any system</w:t>
      </w:r>
      <w:r w:rsidR="002151B7">
        <w:rPr>
          <w:rFonts w:ascii="Calibri" w:hAnsi="Calibri"/>
          <w:szCs w:val="22"/>
          <w:lang w:eastAsia="en-US"/>
        </w:rPr>
        <w:t xml:space="preserve"> </w:t>
      </w:r>
      <w:r w:rsidR="008F0476">
        <w:rPr>
          <w:rFonts w:ascii="Calibri" w:hAnsi="Calibri"/>
          <w:szCs w:val="22"/>
          <w:lang w:eastAsia="en-US"/>
        </w:rPr>
        <w:t>that</w:t>
      </w:r>
      <w:r w:rsidR="008F0476" w:rsidRPr="00A944F9">
        <w:rPr>
          <w:rFonts w:ascii="Calibri" w:hAnsi="Calibri"/>
          <w:szCs w:val="22"/>
          <w:lang w:eastAsia="en-US"/>
        </w:rPr>
        <w:t xml:space="preserve"> </w:t>
      </w:r>
      <w:r w:rsidR="008F0476">
        <w:rPr>
          <w:rFonts w:ascii="Calibri" w:hAnsi="Calibri"/>
          <w:szCs w:val="22"/>
          <w:lang w:eastAsia="en-US"/>
        </w:rPr>
        <w:t xml:space="preserve">substantially </w:t>
      </w:r>
      <w:r w:rsidRPr="00A944F9">
        <w:rPr>
          <w:rFonts w:ascii="Calibri" w:hAnsi="Calibri"/>
          <w:szCs w:val="22"/>
          <w:lang w:eastAsia="en-US"/>
        </w:rPr>
        <w:t xml:space="preserve">increases flexibility </w:t>
      </w:r>
      <w:r w:rsidR="008F0476">
        <w:rPr>
          <w:rFonts w:ascii="Calibri" w:hAnsi="Calibri"/>
          <w:szCs w:val="22"/>
          <w:lang w:eastAsia="en-US"/>
        </w:rPr>
        <w:t xml:space="preserve">for Member States could benefit the sector across Europe and Option 2 certainly is the more attractive option from that point of view.  We recognise that </w:t>
      </w:r>
      <w:r w:rsidR="008F0476">
        <w:rPr>
          <w:rFonts w:ascii="Calibri" w:hAnsi="Calibri"/>
          <w:szCs w:val="22"/>
        </w:rPr>
        <w:t>g</w:t>
      </w:r>
      <w:r w:rsidR="008F0476" w:rsidRPr="00C23B50">
        <w:rPr>
          <w:rFonts w:ascii="Calibri" w:hAnsi="Calibri"/>
          <w:szCs w:val="22"/>
        </w:rPr>
        <w:t xml:space="preserve">reater flexibility would allow Member States </w:t>
      </w:r>
      <w:r w:rsidR="008F0476">
        <w:rPr>
          <w:rFonts w:ascii="Calibri" w:hAnsi="Calibri"/>
          <w:szCs w:val="22"/>
        </w:rPr>
        <w:t xml:space="preserve">more </w:t>
      </w:r>
      <w:r w:rsidR="008F0476" w:rsidRPr="00C23B50">
        <w:rPr>
          <w:rFonts w:ascii="Calibri" w:hAnsi="Calibri"/>
          <w:szCs w:val="22"/>
        </w:rPr>
        <w:t>discretion in supporting good</w:t>
      </w:r>
      <w:r w:rsidR="008F0476">
        <w:rPr>
          <w:rFonts w:ascii="Calibri" w:hAnsi="Calibri"/>
          <w:szCs w:val="22"/>
        </w:rPr>
        <w:t>s</w:t>
      </w:r>
      <w:r w:rsidR="008F0476" w:rsidRPr="00C23B50">
        <w:rPr>
          <w:rFonts w:ascii="Calibri" w:hAnsi="Calibri"/>
          <w:szCs w:val="22"/>
        </w:rPr>
        <w:t xml:space="preserve"> and activities that would benefit from reduced</w:t>
      </w:r>
      <w:r w:rsidR="002151B7">
        <w:rPr>
          <w:rFonts w:ascii="Calibri" w:hAnsi="Calibri"/>
          <w:szCs w:val="22"/>
        </w:rPr>
        <w:t>- and super-</w:t>
      </w:r>
      <w:r w:rsidR="008F0476" w:rsidRPr="00C23B50">
        <w:rPr>
          <w:rFonts w:ascii="Calibri" w:hAnsi="Calibri"/>
          <w:szCs w:val="22"/>
        </w:rPr>
        <w:t>reduced</w:t>
      </w:r>
      <w:r w:rsidR="002151B7">
        <w:rPr>
          <w:rFonts w:ascii="Calibri" w:hAnsi="Calibri"/>
          <w:szCs w:val="22"/>
        </w:rPr>
        <w:t xml:space="preserve"> </w:t>
      </w:r>
      <w:r w:rsidR="008F0476" w:rsidRPr="00C23B50">
        <w:rPr>
          <w:rFonts w:ascii="Calibri" w:hAnsi="Calibri"/>
          <w:szCs w:val="22"/>
        </w:rPr>
        <w:t>rates. This decision is often best made at a local level and Governments would be able to act more quickly to address VAT distortions and difficulties if they were not restricted by existing rules on VAT changes</w:t>
      </w:r>
      <w:r w:rsidR="008F0476">
        <w:rPr>
          <w:rFonts w:ascii="Calibri" w:hAnsi="Calibri"/>
          <w:szCs w:val="22"/>
        </w:rPr>
        <w:t>,</w:t>
      </w:r>
      <w:r w:rsidR="008F0476" w:rsidRPr="00C23B50">
        <w:rPr>
          <w:rFonts w:ascii="Calibri" w:hAnsi="Calibri"/>
          <w:szCs w:val="22"/>
        </w:rPr>
        <w:t xml:space="preserve"> which require</w:t>
      </w:r>
      <w:r w:rsidR="008F0476">
        <w:rPr>
          <w:rFonts w:ascii="Calibri" w:hAnsi="Calibri"/>
          <w:szCs w:val="22"/>
        </w:rPr>
        <w:t xml:space="preserve"> the</w:t>
      </w:r>
      <w:r w:rsidR="008F0476" w:rsidRPr="00C23B50">
        <w:rPr>
          <w:rFonts w:ascii="Calibri" w:hAnsi="Calibri"/>
          <w:szCs w:val="22"/>
        </w:rPr>
        <w:t xml:space="preserve"> unanimous support of the Member States.</w:t>
      </w:r>
      <w:r w:rsidR="008F0476">
        <w:rPr>
          <w:rFonts w:ascii="Calibri" w:hAnsi="Calibri"/>
          <w:szCs w:val="22"/>
        </w:rPr>
        <w:t xml:space="preserve"> We would welcome this flexibility.</w:t>
      </w:r>
      <w:r w:rsidR="008F0476" w:rsidRPr="00C23B50">
        <w:rPr>
          <w:rFonts w:ascii="Calibri" w:hAnsi="Calibri"/>
          <w:szCs w:val="22"/>
        </w:rPr>
        <w:t xml:space="preserve"> </w:t>
      </w:r>
    </w:p>
    <w:p w14:paraId="4D2F1D99" w14:textId="77777777" w:rsidR="001027D2" w:rsidRDefault="001027D2" w:rsidP="001027D2">
      <w:pPr>
        <w:ind w:left="426"/>
        <w:rPr>
          <w:rFonts w:ascii="Calibri" w:eastAsia="Calibri" w:hAnsi="Calibri"/>
          <w:szCs w:val="22"/>
          <w:lang w:eastAsia="en-US"/>
        </w:rPr>
      </w:pPr>
    </w:p>
    <w:p w14:paraId="207640CA" w14:textId="300B7171" w:rsidR="001027D2" w:rsidRPr="001027D2" w:rsidRDefault="001027D2" w:rsidP="001027D2">
      <w:pPr>
        <w:numPr>
          <w:ilvl w:val="0"/>
          <w:numId w:val="17"/>
        </w:numPr>
        <w:ind w:left="426" w:hanging="426"/>
        <w:rPr>
          <w:rFonts w:ascii="Calibri" w:eastAsia="Calibri" w:hAnsi="Calibri"/>
          <w:szCs w:val="22"/>
          <w:lang w:eastAsia="en-US"/>
        </w:rPr>
      </w:pPr>
      <w:r>
        <w:rPr>
          <w:rFonts w:ascii="Calibri" w:hAnsi="Calibri"/>
          <w:szCs w:val="22"/>
        </w:rPr>
        <w:t xml:space="preserve">ECCVAT </w:t>
      </w:r>
      <w:r w:rsidRPr="002151B7">
        <w:rPr>
          <w:rFonts w:ascii="Calibri" w:hAnsi="Calibri"/>
          <w:szCs w:val="22"/>
        </w:rPr>
        <w:t>does, however, have concerns about allowing flexibility to Member States without ensuring that Member States support the recognition that the current VAT system</w:t>
      </w:r>
      <w:r w:rsidRPr="001027D2">
        <w:rPr>
          <w:rFonts w:ascii="Calibri" w:hAnsi="Calibri"/>
          <w:szCs w:val="22"/>
        </w:rPr>
        <w:t xml:space="preserve"> </w:t>
      </w:r>
      <w:r w:rsidRPr="002151B7">
        <w:rPr>
          <w:rFonts w:ascii="Calibri" w:hAnsi="Calibri"/>
          <w:szCs w:val="22"/>
        </w:rPr>
        <w:t xml:space="preserve">gives to items of social benefit, which it currently does through the application of certain exemptions.  </w:t>
      </w:r>
      <w:r w:rsidRPr="001027D2">
        <w:rPr>
          <w:rFonts w:ascii="Calibri" w:hAnsi="Calibri"/>
          <w:szCs w:val="22"/>
          <w:lang w:eastAsia="en-US"/>
        </w:rPr>
        <w:t xml:space="preserve">Were protections not built in to any new flexible system </w:t>
      </w:r>
      <w:r w:rsidRPr="001027D2">
        <w:rPr>
          <w:rFonts w:ascii="Calibri" w:hAnsi="Calibri"/>
          <w:szCs w:val="22"/>
        </w:rPr>
        <w:t>ECCVAT</w:t>
      </w:r>
      <w:r w:rsidRPr="001027D2">
        <w:rPr>
          <w:rFonts w:ascii="Calibri" w:hAnsi="Calibri"/>
          <w:szCs w:val="22"/>
        </w:rPr>
        <w:t xml:space="preserve"> believes that Option 1 should be introduced. This option would </w:t>
      </w:r>
      <w:r w:rsidRPr="001027D2">
        <w:rPr>
          <w:rFonts w:ascii="Calibri" w:hAnsi="Calibri"/>
          <w:szCs w:val="22"/>
          <w:lang w:eastAsia="en-US"/>
        </w:rPr>
        <w:t xml:space="preserve">also provide an improvement on the current system, albeit a less significant one, </w:t>
      </w:r>
      <w:r w:rsidRPr="001027D2">
        <w:rPr>
          <w:rFonts w:ascii="Calibri" w:hAnsi="Calibri"/>
          <w:szCs w:val="22"/>
          <w:lang w:eastAsia="en-US"/>
        </w:rPr>
        <w:t>and</w:t>
      </w:r>
      <w:r w:rsidRPr="001027D2">
        <w:rPr>
          <w:rFonts w:ascii="Calibri" w:hAnsi="Calibri"/>
          <w:szCs w:val="22"/>
          <w:lang w:eastAsia="en-US"/>
        </w:rPr>
        <w:t xml:space="preserve"> would go a long way towards addressing some of the structural deficiencies in the VAT system.</w:t>
      </w:r>
    </w:p>
    <w:p w14:paraId="4D24C1E5" w14:textId="77777777" w:rsidR="001027D2" w:rsidRDefault="001027D2" w:rsidP="001027D2">
      <w:pPr>
        <w:ind w:left="426"/>
        <w:rPr>
          <w:rFonts w:ascii="Calibri" w:hAnsi="Calibri"/>
          <w:szCs w:val="22"/>
        </w:rPr>
      </w:pPr>
    </w:p>
    <w:p w14:paraId="4314C826" w14:textId="708766DB" w:rsidR="003B5FDD" w:rsidRPr="00A944F9" w:rsidRDefault="001027D2" w:rsidP="001027D2">
      <w:pPr>
        <w:ind w:left="426" w:hanging="426"/>
        <w:rPr>
          <w:rFonts w:ascii="Calibri" w:hAnsi="Calibri"/>
          <w:b/>
          <w:i/>
          <w:szCs w:val="22"/>
          <w:lang w:eastAsia="en-US"/>
        </w:rPr>
      </w:pPr>
      <w:r w:rsidRPr="001027D2">
        <w:rPr>
          <w:rFonts w:ascii="Calibri" w:hAnsi="Calibri"/>
          <w:b/>
          <w:i/>
          <w:szCs w:val="22"/>
        </w:rPr>
        <w:t>X)</w:t>
      </w:r>
      <w:r>
        <w:rPr>
          <w:rFonts w:ascii="Calibri" w:hAnsi="Calibri"/>
          <w:szCs w:val="22"/>
        </w:rPr>
        <w:tab/>
      </w:r>
      <w:r w:rsidR="003B5FDD" w:rsidRPr="00A944F9">
        <w:rPr>
          <w:rFonts w:ascii="Calibri" w:hAnsi="Calibri"/>
          <w:b/>
          <w:i/>
          <w:szCs w:val="22"/>
          <w:lang w:eastAsia="en-US"/>
        </w:rPr>
        <w:t>Do you think a specific list should be made for goods and services subject to super-reduced rates</w:t>
      </w:r>
      <w:r w:rsidR="00C17C65" w:rsidRPr="00A944F9">
        <w:rPr>
          <w:rFonts w:ascii="Calibri" w:hAnsi="Calibri"/>
          <w:b/>
          <w:i/>
          <w:szCs w:val="22"/>
          <w:lang w:eastAsia="en-US"/>
        </w:rPr>
        <w:t>?</w:t>
      </w:r>
    </w:p>
    <w:p w14:paraId="0F4F2DE1" w14:textId="77777777" w:rsidR="003B5FDD" w:rsidRPr="00A944F9" w:rsidRDefault="003B5FDD" w:rsidP="00C17C65">
      <w:pPr>
        <w:rPr>
          <w:rFonts w:ascii="Calibri" w:eastAsia="Calibri" w:hAnsi="Calibri"/>
          <w:szCs w:val="22"/>
          <w:lang w:eastAsia="en-US"/>
        </w:rPr>
      </w:pPr>
    </w:p>
    <w:p w14:paraId="6B9FBC92" w14:textId="45522001" w:rsidR="003B5FDD" w:rsidRPr="00FB5C66" w:rsidRDefault="005B1866" w:rsidP="004F7302">
      <w:pPr>
        <w:numPr>
          <w:ilvl w:val="0"/>
          <w:numId w:val="17"/>
        </w:numPr>
        <w:ind w:left="426" w:hanging="426"/>
        <w:rPr>
          <w:rFonts w:ascii="Calibri" w:hAnsi="Calibri"/>
          <w:szCs w:val="22"/>
          <w:lang w:eastAsia="en-US"/>
        </w:rPr>
      </w:pPr>
      <w:r w:rsidRPr="00FB5C66">
        <w:rPr>
          <w:rFonts w:ascii="Calibri" w:hAnsi="Calibri"/>
          <w:szCs w:val="22"/>
          <w:lang w:eastAsia="en-US"/>
        </w:rPr>
        <w:t>Y</w:t>
      </w:r>
      <w:r w:rsidR="003B5FDD" w:rsidRPr="00FB5C66">
        <w:rPr>
          <w:rFonts w:ascii="Calibri" w:hAnsi="Calibri"/>
          <w:szCs w:val="22"/>
          <w:lang w:eastAsia="en-US"/>
        </w:rPr>
        <w:t>es</w:t>
      </w:r>
      <w:r w:rsidRPr="00FB5C66">
        <w:rPr>
          <w:rFonts w:ascii="Calibri" w:hAnsi="Calibri"/>
          <w:szCs w:val="22"/>
          <w:lang w:eastAsia="en-US"/>
        </w:rPr>
        <w:t>,</w:t>
      </w:r>
      <w:r w:rsidR="003B5FDD" w:rsidRPr="00FB5C66">
        <w:rPr>
          <w:rFonts w:ascii="Calibri" w:hAnsi="Calibri"/>
          <w:szCs w:val="22"/>
          <w:lang w:eastAsia="en-US"/>
        </w:rPr>
        <w:t xml:space="preserve"> although presumably this would apply only to Option 1. We would want assurances that existing reliefs would be protected and </w:t>
      </w:r>
      <w:r w:rsidRPr="00FB5C66">
        <w:rPr>
          <w:rFonts w:ascii="Calibri" w:hAnsi="Calibri"/>
          <w:szCs w:val="22"/>
          <w:lang w:eastAsia="en-US"/>
        </w:rPr>
        <w:t>w</w:t>
      </w:r>
      <w:r w:rsidR="003B5FDD" w:rsidRPr="00FB5C66">
        <w:rPr>
          <w:rFonts w:ascii="Calibri" w:hAnsi="Calibri"/>
          <w:szCs w:val="22"/>
          <w:lang w:eastAsia="en-US"/>
        </w:rPr>
        <w:t xml:space="preserve">ould </w:t>
      </w:r>
      <w:r w:rsidR="001027D2">
        <w:rPr>
          <w:rFonts w:ascii="Calibri" w:hAnsi="Calibri"/>
          <w:szCs w:val="22"/>
          <w:lang w:eastAsia="en-US"/>
        </w:rPr>
        <w:t xml:space="preserve">also </w:t>
      </w:r>
      <w:r w:rsidRPr="00FB5C66">
        <w:rPr>
          <w:rFonts w:ascii="Calibri" w:hAnsi="Calibri"/>
          <w:szCs w:val="22"/>
          <w:lang w:eastAsia="en-US"/>
        </w:rPr>
        <w:t xml:space="preserve">hope that the development of such a list could provide </w:t>
      </w:r>
      <w:r w:rsidR="003B5FDD" w:rsidRPr="00FB5C66">
        <w:rPr>
          <w:rFonts w:ascii="Calibri" w:hAnsi="Calibri"/>
          <w:szCs w:val="22"/>
          <w:lang w:eastAsia="en-US"/>
        </w:rPr>
        <w:t xml:space="preserve">an opportunity to </w:t>
      </w:r>
      <w:r w:rsidR="001027D2">
        <w:rPr>
          <w:rFonts w:ascii="Calibri" w:hAnsi="Calibri"/>
          <w:szCs w:val="22"/>
          <w:lang w:eastAsia="en-US"/>
        </w:rPr>
        <w:t xml:space="preserve">widen and update </w:t>
      </w:r>
      <w:r w:rsidR="003B5FDD" w:rsidRPr="00FB5C66">
        <w:rPr>
          <w:rFonts w:ascii="Calibri" w:hAnsi="Calibri"/>
          <w:szCs w:val="22"/>
          <w:lang w:eastAsia="en-US"/>
        </w:rPr>
        <w:t>the scope of the existing reliefs.</w:t>
      </w:r>
    </w:p>
    <w:p w14:paraId="6A1210D7" w14:textId="77777777" w:rsidR="003B5FDD" w:rsidRPr="00A944F9" w:rsidRDefault="003B5FDD" w:rsidP="00C17C65">
      <w:pPr>
        <w:pStyle w:val="ListParagraph"/>
        <w:ind w:left="1440"/>
        <w:rPr>
          <w:rFonts w:ascii="Calibri" w:eastAsia="Calibri" w:hAnsi="Calibri"/>
          <w:szCs w:val="22"/>
          <w:lang w:eastAsia="en-US"/>
        </w:rPr>
      </w:pPr>
    </w:p>
    <w:p w14:paraId="521D0636" w14:textId="5C2D8CF4" w:rsidR="003B5FDD" w:rsidRPr="00A944F9" w:rsidRDefault="001027D2" w:rsidP="001027D2">
      <w:pPr>
        <w:ind w:left="426" w:hanging="426"/>
        <w:rPr>
          <w:rFonts w:ascii="Calibri" w:hAnsi="Calibri"/>
          <w:b/>
          <w:i/>
          <w:szCs w:val="22"/>
          <w:lang w:eastAsia="en-US"/>
        </w:rPr>
      </w:pPr>
      <w:r>
        <w:rPr>
          <w:rFonts w:ascii="Calibri" w:hAnsi="Calibri"/>
          <w:b/>
          <w:i/>
          <w:szCs w:val="22"/>
          <w:lang w:eastAsia="en-US"/>
        </w:rPr>
        <w:t xml:space="preserve">XI) </w:t>
      </w:r>
      <w:r>
        <w:rPr>
          <w:rFonts w:ascii="Calibri" w:hAnsi="Calibri"/>
          <w:b/>
          <w:i/>
          <w:szCs w:val="22"/>
          <w:lang w:eastAsia="en-US"/>
        </w:rPr>
        <w:tab/>
      </w:r>
      <w:r w:rsidR="003B5FDD" w:rsidRPr="00A944F9">
        <w:rPr>
          <w:rFonts w:ascii="Calibri" w:hAnsi="Calibri"/>
          <w:b/>
          <w:i/>
          <w:szCs w:val="22"/>
          <w:lang w:eastAsia="en-US"/>
        </w:rPr>
        <w:t>Do you think granting Member State greater flexibility could risk creating, because of more intense tax competition between Member States, an erosion of VAT revenues and/or pressures to narrow the tax base for VAT?</w:t>
      </w:r>
    </w:p>
    <w:p w14:paraId="3E8413FE" w14:textId="77777777" w:rsidR="003B5FDD" w:rsidRPr="00A944F9" w:rsidRDefault="003B5FDD" w:rsidP="00C17C65">
      <w:pPr>
        <w:ind w:left="720"/>
        <w:rPr>
          <w:rFonts w:ascii="Calibri" w:eastAsia="Calibri" w:hAnsi="Calibri"/>
          <w:szCs w:val="22"/>
          <w:lang w:eastAsia="en-US"/>
        </w:rPr>
      </w:pPr>
    </w:p>
    <w:p w14:paraId="6BFFD0F6" w14:textId="50D92221" w:rsidR="003B5FDD" w:rsidRPr="00FB5C66" w:rsidRDefault="001027D2" w:rsidP="004F7302">
      <w:pPr>
        <w:numPr>
          <w:ilvl w:val="0"/>
          <w:numId w:val="17"/>
        </w:numPr>
        <w:ind w:left="426" w:hanging="426"/>
        <w:rPr>
          <w:rFonts w:ascii="Calibri" w:hAnsi="Calibri"/>
          <w:szCs w:val="22"/>
          <w:lang w:eastAsia="en-US"/>
        </w:rPr>
      </w:pPr>
      <w:r>
        <w:rPr>
          <w:rFonts w:ascii="Calibri" w:hAnsi="Calibri"/>
          <w:szCs w:val="22"/>
          <w:lang w:eastAsia="en-US"/>
        </w:rPr>
        <w:t>ECCVAT has no comment on this question.</w:t>
      </w:r>
    </w:p>
    <w:p w14:paraId="50005777" w14:textId="77777777" w:rsidR="00C17C65" w:rsidRPr="00A944F9" w:rsidRDefault="00C17C65" w:rsidP="00C17C65">
      <w:pPr>
        <w:jc w:val="left"/>
        <w:rPr>
          <w:rFonts w:ascii="Calibri" w:hAnsi="Calibri"/>
          <w:szCs w:val="22"/>
          <w:lang w:eastAsia="en-US"/>
        </w:rPr>
      </w:pPr>
    </w:p>
    <w:bookmarkEnd w:id="0"/>
    <w:p w14:paraId="382851DD" w14:textId="77777777" w:rsidR="00C17C65" w:rsidRPr="00A944F9" w:rsidRDefault="00C17C65" w:rsidP="00C17C65">
      <w:pPr>
        <w:jc w:val="left"/>
        <w:rPr>
          <w:rFonts w:ascii="Calibri" w:hAnsi="Calibri"/>
          <w:szCs w:val="22"/>
          <w:lang w:eastAsia="en-US"/>
        </w:rPr>
      </w:pPr>
    </w:p>
    <w:p w14:paraId="7DD958C2" w14:textId="77777777" w:rsidR="00C17C65" w:rsidRPr="00A944F9" w:rsidRDefault="00C17C65" w:rsidP="00C17C65">
      <w:pPr>
        <w:jc w:val="left"/>
        <w:rPr>
          <w:rFonts w:ascii="Calibri" w:hAnsi="Calibri"/>
          <w:b/>
          <w:szCs w:val="22"/>
          <w:lang w:eastAsia="en-US"/>
        </w:rPr>
      </w:pPr>
      <w:r w:rsidRPr="00A944F9">
        <w:rPr>
          <w:rFonts w:ascii="Calibri" w:hAnsi="Calibri"/>
          <w:b/>
          <w:szCs w:val="22"/>
          <w:lang w:eastAsia="en-US"/>
        </w:rPr>
        <w:t>ECCVAT</w:t>
      </w:r>
    </w:p>
    <w:p w14:paraId="162F03A3" w14:textId="77777777" w:rsidR="003B5FDD" w:rsidRPr="00A944F9" w:rsidRDefault="00C17C65" w:rsidP="00C17C65">
      <w:pPr>
        <w:jc w:val="left"/>
        <w:rPr>
          <w:rFonts w:ascii="Calibri" w:hAnsi="Calibri"/>
          <w:b/>
          <w:szCs w:val="22"/>
          <w:lang w:eastAsia="en-US"/>
        </w:rPr>
      </w:pPr>
      <w:r w:rsidRPr="00A944F9">
        <w:rPr>
          <w:rFonts w:ascii="Calibri" w:hAnsi="Calibri"/>
          <w:b/>
          <w:szCs w:val="22"/>
          <w:lang w:eastAsia="en-US"/>
        </w:rPr>
        <w:t>March 2017</w:t>
      </w:r>
    </w:p>
    <w:p w14:paraId="24AB531E" w14:textId="77777777" w:rsidR="003B5FDD" w:rsidRDefault="003B5FDD" w:rsidP="00A63D01">
      <w:pPr>
        <w:jc w:val="center"/>
        <w:rPr>
          <w:rFonts w:ascii="Calibri" w:eastAsia="ヒラギノ角ゴ Pro W3" w:hAnsi="Calibri"/>
          <w:b/>
          <w:sz w:val="24"/>
        </w:rPr>
      </w:pPr>
    </w:p>
    <w:p w14:paraId="5BA063A3" w14:textId="77777777" w:rsidR="003B5FDD" w:rsidRDefault="003B5FDD" w:rsidP="00A63D01">
      <w:pPr>
        <w:jc w:val="center"/>
        <w:rPr>
          <w:rFonts w:ascii="Calibri" w:eastAsia="ヒラギノ角ゴ Pro W3" w:hAnsi="Calibri"/>
          <w:b/>
          <w:sz w:val="24"/>
        </w:rPr>
      </w:pPr>
    </w:p>
    <w:p w14:paraId="331B57D5" w14:textId="77777777" w:rsidR="003B5FDD" w:rsidRDefault="003B5FDD" w:rsidP="00A63D01">
      <w:pPr>
        <w:jc w:val="center"/>
        <w:rPr>
          <w:rFonts w:ascii="Calibri" w:eastAsia="ヒラギノ角ゴ Pro W3" w:hAnsi="Calibri"/>
          <w:b/>
          <w:sz w:val="24"/>
        </w:rPr>
      </w:pPr>
    </w:p>
    <w:p w14:paraId="3B054445" w14:textId="77777777" w:rsidR="003B5FDD" w:rsidRDefault="003B5FDD" w:rsidP="00A63D01">
      <w:pPr>
        <w:jc w:val="center"/>
        <w:rPr>
          <w:rFonts w:ascii="Calibri" w:eastAsia="ヒラギノ角ゴ Pro W3" w:hAnsi="Calibri"/>
          <w:b/>
          <w:sz w:val="24"/>
        </w:rPr>
      </w:pPr>
    </w:p>
    <w:p w14:paraId="5418E641" w14:textId="77777777" w:rsidR="003B5FDD" w:rsidRDefault="003B5FDD" w:rsidP="00A63D01">
      <w:pPr>
        <w:jc w:val="center"/>
        <w:rPr>
          <w:rFonts w:ascii="Calibri" w:eastAsia="ヒラギノ角ゴ Pro W3" w:hAnsi="Calibri"/>
          <w:b/>
          <w:sz w:val="24"/>
        </w:rPr>
      </w:pPr>
    </w:p>
    <w:p w14:paraId="5A4627A0" w14:textId="2E0F9DE5" w:rsidR="003B5FDD" w:rsidRDefault="003B5FDD" w:rsidP="00A63D01">
      <w:pPr>
        <w:jc w:val="center"/>
        <w:rPr>
          <w:rFonts w:ascii="Calibri" w:eastAsia="ヒラギノ角ゴ Pro W3" w:hAnsi="Calibri"/>
          <w:b/>
          <w:sz w:val="24"/>
        </w:rPr>
      </w:pPr>
    </w:p>
    <w:p w14:paraId="28291649" w14:textId="5DEBF6CA" w:rsidR="004F7302" w:rsidRDefault="004F7302" w:rsidP="00A63D01">
      <w:pPr>
        <w:jc w:val="center"/>
        <w:rPr>
          <w:rFonts w:ascii="Calibri" w:eastAsia="ヒラギノ角ゴ Pro W3" w:hAnsi="Calibri"/>
          <w:b/>
          <w:sz w:val="24"/>
        </w:rPr>
      </w:pPr>
    </w:p>
    <w:p w14:paraId="406783D1" w14:textId="599FA5A8" w:rsidR="004F7302" w:rsidRDefault="004F7302" w:rsidP="00A63D01">
      <w:pPr>
        <w:jc w:val="center"/>
        <w:rPr>
          <w:rFonts w:ascii="Calibri" w:eastAsia="ヒラギノ角ゴ Pro W3" w:hAnsi="Calibri"/>
          <w:b/>
          <w:sz w:val="24"/>
        </w:rPr>
      </w:pPr>
    </w:p>
    <w:p w14:paraId="5CA2F8D8" w14:textId="4954825C" w:rsidR="004F7302" w:rsidRDefault="004F7302" w:rsidP="00A63D01">
      <w:pPr>
        <w:jc w:val="center"/>
        <w:rPr>
          <w:rFonts w:ascii="Calibri" w:eastAsia="ヒラギノ角ゴ Pro W3" w:hAnsi="Calibri"/>
          <w:b/>
          <w:sz w:val="24"/>
        </w:rPr>
      </w:pPr>
    </w:p>
    <w:p w14:paraId="4A19DC49" w14:textId="33153D44" w:rsidR="004F7302" w:rsidRDefault="004F7302" w:rsidP="00A63D01">
      <w:pPr>
        <w:jc w:val="center"/>
        <w:rPr>
          <w:rFonts w:ascii="Calibri" w:eastAsia="ヒラギノ角ゴ Pro W3" w:hAnsi="Calibri"/>
          <w:b/>
          <w:sz w:val="24"/>
        </w:rPr>
      </w:pPr>
    </w:p>
    <w:p w14:paraId="50DC3796" w14:textId="17CEBB70" w:rsidR="004F7302" w:rsidRDefault="004F7302" w:rsidP="00A63D01">
      <w:pPr>
        <w:jc w:val="center"/>
        <w:rPr>
          <w:rFonts w:ascii="Calibri" w:eastAsia="ヒラギノ角ゴ Pro W3" w:hAnsi="Calibri"/>
          <w:b/>
          <w:sz w:val="24"/>
        </w:rPr>
      </w:pPr>
    </w:p>
    <w:p w14:paraId="70F98888" w14:textId="4E483914" w:rsidR="004F7302" w:rsidRDefault="004F7302" w:rsidP="00A63D01">
      <w:pPr>
        <w:jc w:val="center"/>
        <w:rPr>
          <w:rFonts w:ascii="Calibri" w:eastAsia="ヒラギノ角ゴ Pro W3" w:hAnsi="Calibri"/>
          <w:b/>
          <w:sz w:val="24"/>
        </w:rPr>
      </w:pPr>
    </w:p>
    <w:p w14:paraId="43C28FFA" w14:textId="6DEEC35E" w:rsidR="004F7302" w:rsidRDefault="004F7302" w:rsidP="00A63D01">
      <w:pPr>
        <w:jc w:val="center"/>
        <w:rPr>
          <w:rFonts w:ascii="Calibri" w:eastAsia="ヒラギノ角ゴ Pro W3" w:hAnsi="Calibri"/>
          <w:b/>
          <w:sz w:val="24"/>
        </w:rPr>
      </w:pPr>
    </w:p>
    <w:p w14:paraId="7BC9EB66" w14:textId="661BB364" w:rsidR="004F7302" w:rsidRDefault="004F7302" w:rsidP="00A63D01">
      <w:pPr>
        <w:jc w:val="center"/>
        <w:rPr>
          <w:rFonts w:ascii="Calibri" w:eastAsia="ヒラギノ角ゴ Pro W3" w:hAnsi="Calibri"/>
          <w:b/>
          <w:sz w:val="24"/>
        </w:rPr>
      </w:pPr>
    </w:p>
    <w:p w14:paraId="4FBDF285" w14:textId="1A5C16CE" w:rsidR="004F7302" w:rsidRDefault="004F7302" w:rsidP="00A63D01">
      <w:pPr>
        <w:jc w:val="center"/>
        <w:rPr>
          <w:rFonts w:ascii="Calibri" w:eastAsia="ヒラギノ角ゴ Pro W3" w:hAnsi="Calibri"/>
          <w:b/>
          <w:sz w:val="24"/>
        </w:rPr>
      </w:pPr>
    </w:p>
    <w:p w14:paraId="59E3974F" w14:textId="598B42A4" w:rsidR="004F7302" w:rsidRDefault="004F7302" w:rsidP="00A63D01">
      <w:pPr>
        <w:jc w:val="center"/>
        <w:rPr>
          <w:rFonts w:ascii="Calibri" w:eastAsia="ヒラギノ角ゴ Pro W3" w:hAnsi="Calibri"/>
          <w:b/>
          <w:sz w:val="24"/>
        </w:rPr>
      </w:pPr>
    </w:p>
    <w:p w14:paraId="4E886A90" w14:textId="03F9C925" w:rsidR="004F7302" w:rsidRDefault="004F7302" w:rsidP="00A63D01">
      <w:pPr>
        <w:jc w:val="center"/>
        <w:rPr>
          <w:rFonts w:ascii="Calibri" w:eastAsia="ヒラギノ角ゴ Pro W3" w:hAnsi="Calibri"/>
          <w:b/>
          <w:sz w:val="24"/>
        </w:rPr>
      </w:pPr>
    </w:p>
    <w:p w14:paraId="20A631DD" w14:textId="110D4A0D" w:rsidR="004F7302" w:rsidRDefault="004F7302" w:rsidP="00A63D01">
      <w:pPr>
        <w:jc w:val="center"/>
        <w:rPr>
          <w:rFonts w:ascii="Calibri" w:eastAsia="ヒラギノ角ゴ Pro W3" w:hAnsi="Calibri"/>
          <w:b/>
          <w:sz w:val="24"/>
        </w:rPr>
      </w:pPr>
    </w:p>
    <w:p w14:paraId="45DE9A1B" w14:textId="424A0334" w:rsidR="004F7302" w:rsidRDefault="004F7302" w:rsidP="00A63D01">
      <w:pPr>
        <w:jc w:val="center"/>
        <w:rPr>
          <w:rFonts w:ascii="Calibri" w:eastAsia="ヒラギノ角ゴ Pro W3" w:hAnsi="Calibri"/>
          <w:b/>
          <w:sz w:val="24"/>
        </w:rPr>
      </w:pPr>
    </w:p>
    <w:p w14:paraId="2C69A939" w14:textId="659D9CF4" w:rsidR="004F7302" w:rsidRDefault="004F7302" w:rsidP="00A63D01">
      <w:pPr>
        <w:jc w:val="center"/>
        <w:rPr>
          <w:rFonts w:ascii="Calibri" w:eastAsia="ヒラギノ角ゴ Pro W3" w:hAnsi="Calibri"/>
          <w:b/>
          <w:sz w:val="24"/>
        </w:rPr>
      </w:pPr>
    </w:p>
    <w:p w14:paraId="6A9B2191" w14:textId="59FDE2EB" w:rsidR="004F7302" w:rsidRDefault="004F7302" w:rsidP="00A63D01">
      <w:pPr>
        <w:jc w:val="center"/>
        <w:rPr>
          <w:rFonts w:ascii="Calibri" w:eastAsia="ヒラギノ角ゴ Pro W3" w:hAnsi="Calibri"/>
          <w:b/>
          <w:sz w:val="24"/>
        </w:rPr>
      </w:pPr>
    </w:p>
    <w:p w14:paraId="7BF73F70" w14:textId="5968CFBD" w:rsidR="004F7302" w:rsidRDefault="004F7302" w:rsidP="00A63D01">
      <w:pPr>
        <w:jc w:val="center"/>
        <w:rPr>
          <w:rFonts w:ascii="Calibri" w:eastAsia="ヒラギノ角ゴ Pro W3" w:hAnsi="Calibri"/>
          <w:b/>
          <w:sz w:val="24"/>
        </w:rPr>
      </w:pPr>
    </w:p>
    <w:p w14:paraId="24F65C34" w14:textId="2BAB49E9" w:rsidR="004F7302" w:rsidRDefault="004F7302" w:rsidP="00A63D01">
      <w:pPr>
        <w:jc w:val="center"/>
        <w:rPr>
          <w:rFonts w:ascii="Calibri" w:eastAsia="ヒラギノ角ゴ Pro W3" w:hAnsi="Calibri"/>
          <w:b/>
          <w:sz w:val="24"/>
        </w:rPr>
      </w:pPr>
    </w:p>
    <w:p w14:paraId="653F4223" w14:textId="4BBCF568" w:rsidR="004F7302" w:rsidRDefault="004F7302" w:rsidP="00A63D01">
      <w:pPr>
        <w:jc w:val="center"/>
        <w:rPr>
          <w:rFonts w:ascii="Calibri" w:eastAsia="ヒラギノ角ゴ Pro W3" w:hAnsi="Calibri"/>
          <w:b/>
          <w:sz w:val="24"/>
        </w:rPr>
      </w:pPr>
    </w:p>
    <w:p w14:paraId="2B1F77D1" w14:textId="4C138774" w:rsidR="004F7302" w:rsidRDefault="004F7302" w:rsidP="00A63D01">
      <w:pPr>
        <w:jc w:val="center"/>
        <w:rPr>
          <w:rFonts w:ascii="Calibri" w:eastAsia="ヒラギノ角ゴ Pro W3" w:hAnsi="Calibri"/>
          <w:b/>
          <w:sz w:val="24"/>
        </w:rPr>
      </w:pPr>
    </w:p>
    <w:p w14:paraId="24403C0B" w14:textId="03BAA182" w:rsidR="004F7302" w:rsidRDefault="004F7302" w:rsidP="00A63D01">
      <w:pPr>
        <w:jc w:val="center"/>
        <w:rPr>
          <w:rFonts w:ascii="Calibri" w:eastAsia="ヒラギノ角ゴ Pro W3" w:hAnsi="Calibri"/>
          <w:b/>
          <w:sz w:val="24"/>
        </w:rPr>
      </w:pPr>
    </w:p>
    <w:p w14:paraId="29D2B0CD" w14:textId="209A2209" w:rsidR="004F7302" w:rsidRDefault="004F7302" w:rsidP="00A63D01">
      <w:pPr>
        <w:jc w:val="center"/>
        <w:rPr>
          <w:rFonts w:ascii="Calibri" w:eastAsia="ヒラギノ角ゴ Pro W3" w:hAnsi="Calibri"/>
          <w:b/>
          <w:sz w:val="24"/>
        </w:rPr>
      </w:pPr>
    </w:p>
    <w:p w14:paraId="5418865D" w14:textId="77777777" w:rsidR="004F7302" w:rsidRDefault="004F7302" w:rsidP="00A63D01">
      <w:pPr>
        <w:jc w:val="center"/>
        <w:rPr>
          <w:rFonts w:ascii="Calibri" w:eastAsia="ヒラギノ角ゴ Pro W3" w:hAnsi="Calibri"/>
          <w:b/>
          <w:sz w:val="24"/>
        </w:rPr>
      </w:pPr>
    </w:p>
    <w:p w14:paraId="506B0110" w14:textId="77777777" w:rsidR="003B5FDD" w:rsidRDefault="003B5FDD" w:rsidP="00A63D01">
      <w:pPr>
        <w:jc w:val="center"/>
        <w:rPr>
          <w:rFonts w:ascii="Calibri" w:eastAsia="ヒラギノ角ゴ Pro W3" w:hAnsi="Calibri"/>
          <w:b/>
          <w:sz w:val="24"/>
        </w:rPr>
      </w:pPr>
    </w:p>
    <w:p w14:paraId="341497C8" w14:textId="77777777" w:rsidR="003B5FDD" w:rsidRDefault="003B5FDD" w:rsidP="00A63D01">
      <w:pPr>
        <w:jc w:val="center"/>
        <w:rPr>
          <w:rFonts w:ascii="Calibri" w:eastAsia="ヒラギノ角ゴ Pro W3" w:hAnsi="Calibri"/>
          <w:b/>
          <w:sz w:val="24"/>
        </w:rPr>
      </w:pPr>
    </w:p>
    <w:p w14:paraId="150FACC0" w14:textId="77777777" w:rsidR="003B5FDD" w:rsidRDefault="003B5FDD" w:rsidP="00A63D01">
      <w:pPr>
        <w:jc w:val="center"/>
        <w:rPr>
          <w:rFonts w:ascii="Calibri" w:eastAsia="ヒラギノ角ゴ Pro W3" w:hAnsi="Calibri"/>
          <w:b/>
          <w:sz w:val="24"/>
        </w:rPr>
      </w:pPr>
    </w:p>
    <w:p w14:paraId="1562F41B" w14:textId="77777777" w:rsidR="003B5FDD" w:rsidRDefault="003B5FDD" w:rsidP="00A63D01">
      <w:pPr>
        <w:jc w:val="center"/>
        <w:rPr>
          <w:rFonts w:ascii="Calibri" w:eastAsia="ヒラギノ角ゴ Pro W3" w:hAnsi="Calibri"/>
          <w:b/>
          <w:sz w:val="24"/>
        </w:rPr>
      </w:pPr>
    </w:p>
    <w:p w14:paraId="103B65AF" w14:textId="77777777" w:rsidR="003B5FDD" w:rsidRDefault="003B5FDD" w:rsidP="00A63D01">
      <w:pPr>
        <w:jc w:val="center"/>
        <w:rPr>
          <w:rFonts w:ascii="Calibri" w:eastAsia="ヒラギノ角ゴ Pro W3" w:hAnsi="Calibri"/>
          <w:b/>
          <w:sz w:val="24"/>
        </w:rPr>
      </w:pPr>
    </w:p>
    <w:p w14:paraId="51B8B50D" w14:textId="77777777" w:rsidR="003B5FDD" w:rsidRDefault="003B5FDD" w:rsidP="00A63D01">
      <w:pPr>
        <w:jc w:val="center"/>
        <w:rPr>
          <w:rFonts w:ascii="Calibri" w:eastAsia="ヒラギノ角ゴ Pro W3" w:hAnsi="Calibri"/>
          <w:b/>
          <w:sz w:val="24"/>
        </w:rPr>
      </w:pPr>
    </w:p>
    <w:p w14:paraId="409A04B7" w14:textId="77777777" w:rsidR="00615203" w:rsidRDefault="00615203" w:rsidP="00615203">
      <w:pPr>
        <w:jc w:val="center"/>
        <w:rPr>
          <w:rFonts w:ascii="Calibri" w:eastAsia="ヒラギノ角ゴ Pro W3" w:hAnsi="Calibri"/>
          <w:b/>
          <w:sz w:val="24"/>
        </w:rPr>
      </w:pPr>
      <w:r>
        <w:rPr>
          <w:rFonts w:ascii="Calibri" w:eastAsia="ヒラギノ角ゴ Pro W3" w:hAnsi="Calibri"/>
          <w:b/>
          <w:sz w:val="24"/>
        </w:rPr>
        <w:lastRenderedPageBreak/>
        <w:t>Commission Review of VAT Rates</w:t>
      </w:r>
    </w:p>
    <w:p w14:paraId="6FB3BAD7" w14:textId="77777777" w:rsidR="00615203" w:rsidRDefault="00615203" w:rsidP="00615203">
      <w:pPr>
        <w:jc w:val="center"/>
        <w:rPr>
          <w:rFonts w:ascii="Calibri" w:eastAsia="ヒラギノ角ゴ Pro W3" w:hAnsi="Calibri"/>
          <w:b/>
          <w:sz w:val="24"/>
        </w:rPr>
      </w:pPr>
    </w:p>
    <w:p w14:paraId="5D13CC8E" w14:textId="77777777" w:rsidR="00615203" w:rsidRDefault="00615203" w:rsidP="00615203">
      <w:pPr>
        <w:jc w:val="center"/>
        <w:rPr>
          <w:rFonts w:ascii="Calibri" w:eastAsia="ヒラギノ角ゴ Pro W3" w:hAnsi="Calibri"/>
          <w:b/>
          <w:sz w:val="24"/>
        </w:rPr>
      </w:pPr>
      <w:r>
        <w:rPr>
          <w:rFonts w:ascii="Calibri" w:eastAsia="ヒラギノ角ゴ Pro W3" w:hAnsi="Calibri"/>
          <w:b/>
          <w:sz w:val="24"/>
        </w:rPr>
        <w:t xml:space="preserve">Supplementary paper by the European Charities Committee on VAT (ECCVAT) </w:t>
      </w:r>
    </w:p>
    <w:p w14:paraId="5B9B4691" w14:textId="77777777" w:rsidR="00615203" w:rsidRDefault="00615203" w:rsidP="00615203">
      <w:pPr>
        <w:jc w:val="center"/>
        <w:rPr>
          <w:rFonts w:ascii="Calibri" w:eastAsia="ヒラギノ角ゴ Pro W3" w:hAnsi="Calibri"/>
          <w:b/>
          <w:sz w:val="24"/>
        </w:rPr>
      </w:pPr>
    </w:p>
    <w:p w14:paraId="6EEF007D" w14:textId="77777777" w:rsidR="00615203" w:rsidRPr="00DC1913" w:rsidRDefault="00615203" w:rsidP="00615203">
      <w:pPr>
        <w:jc w:val="center"/>
        <w:rPr>
          <w:rFonts w:ascii="Calibri" w:eastAsia="ヒラギノ角ゴ Pro W3" w:hAnsi="Calibri"/>
          <w:b/>
          <w:color w:val="000000"/>
          <w:sz w:val="24"/>
        </w:rPr>
      </w:pPr>
      <w:r>
        <w:rPr>
          <w:rFonts w:ascii="Calibri" w:eastAsia="ヒラギノ角ゴ Pro W3" w:hAnsi="Calibri"/>
          <w:b/>
          <w:sz w:val="24"/>
        </w:rPr>
        <w:t>March 2017</w:t>
      </w:r>
    </w:p>
    <w:p w14:paraId="61F2B71D" w14:textId="77777777" w:rsidR="00615203" w:rsidRPr="00DC1913" w:rsidRDefault="00615203" w:rsidP="00615203">
      <w:pPr>
        <w:rPr>
          <w:rFonts w:ascii="Calibri" w:eastAsia="ヒラギノ角ゴ Pro W3" w:hAnsi="Calibri"/>
          <w:color w:val="000000"/>
          <w:szCs w:val="22"/>
        </w:rPr>
      </w:pPr>
    </w:p>
    <w:p w14:paraId="3767CF8B" w14:textId="77777777" w:rsidR="00615203" w:rsidRPr="00DC1913" w:rsidRDefault="00615203" w:rsidP="00615203">
      <w:pPr>
        <w:rPr>
          <w:rFonts w:ascii="Calibri" w:hAnsi="Calibri"/>
          <w:b/>
          <w:szCs w:val="22"/>
        </w:rPr>
      </w:pPr>
      <w:r w:rsidRPr="00DC1913">
        <w:rPr>
          <w:rFonts w:ascii="Calibri" w:hAnsi="Calibri"/>
          <w:b/>
          <w:szCs w:val="22"/>
        </w:rPr>
        <w:t>Introduction</w:t>
      </w:r>
    </w:p>
    <w:p w14:paraId="2491D294" w14:textId="77777777" w:rsidR="00615203" w:rsidRPr="00DC1913" w:rsidRDefault="00615203" w:rsidP="00615203">
      <w:pPr>
        <w:rPr>
          <w:rFonts w:ascii="Calibri" w:hAnsi="Calibri"/>
          <w:szCs w:val="22"/>
        </w:rPr>
      </w:pPr>
    </w:p>
    <w:p w14:paraId="09482B65" w14:textId="77777777" w:rsidR="00615203" w:rsidRDefault="00615203" w:rsidP="009F422A">
      <w:pPr>
        <w:numPr>
          <w:ilvl w:val="0"/>
          <w:numId w:val="18"/>
        </w:numPr>
        <w:tabs>
          <w:tab w:val="clear" w:pos="720"/>
          <w:tab w:val="num" w:pos="426"/>
        </w:tabs>
        <w:ind w:left="426" w:hanging="426"/>
        <w:rPr>
          <w:rFonts w:ascii="Calibri" w:hAnsi="Calibri"/>
          <w:szCs w:val="22"/>
        </w:rPr>
      </w:pPr>
      <w:r w:rsidRPr="00DC1913">
        <w:rPr>
          <w:rFonts w:ascii="Calibri" w:hAnsi="Calibri"/>
          <w:szCs w:val="22"/>
        </w:rPr>
        <w:t xml:space="preserve">The European Charities' Committee on Value-Added Tax (ECCVAT) is a group of charities and foundations that has come together to research the impact of VAT and other taxes on the work of NGOs and to make representations to the EU institutions and governments on behalf of the sector. ECCVAT has been working to improve the VAT system for charities since 1992. </w:t>
      </w:r>
    </w:p>
    <w:p w14:paraId="30B57AF0" w14:textId="77777777" w:rsidR="00615203" w:rsidRDefault="00615203" w:rsidP="00615203">
      <w:pPr>
        <w:tabs>
          <w:tab w:val="num" w:pos="426"/>
        </w:tabs>
        <w:ind w:left="426" w:hanging="426"/>
        <w:rPr>
          <w:rFonts w:ascii="Calibri" w:hAnsi="Calibri"/>
          <w:szCs w:val="22"/>
        </w:rPr>
      </w:pPr>
    </w:p>
    <w:p w14:paraId="3D3A1A56" w14:textId="77777777" w:rsidR="00615203" w:rsidRDefault="00615203" w:rsidP="009F422A">
      <w:pPr>
        <w:numPr>
          <w:ilvl w:val="0"/>
          <w:numId w:val="18"/>
        </w:numPr>
        <w:ind w:left="426" w:hanging="426"/>
        <w:rPr>
          <w:rFonts w:ascii="Calibri" w:hAnsi="Calibri"/>
          <w:szCs w:val="22"/>
        </w:rPr>
      </w:pPr>
      <w:r>
        <w:rPr>
          <w:rFonts w:ascii="Calibri" w:hAnsi="Calibri"/>
          <w:szCs w:val="22"/>
        </w:rPr>
        <w:t>ECCVAT has sat as an Observer on the Commission’s VAT Expert Group and has regularly met DGTAXUD officials in recent years as part of the Commission’s review of the VAT system. ECCVAT also participated in the Fiscalis Conference in Mestre in May 2013 on the implications for charities of the review of</w:t>
      </w:r>
      <w:r w:rsidRPr="00651524">
        <w:rPr>
          <w:rFonts w:ascii="Calibri" w:hAnsi="Calibri"/>
          <w:szCs w:val="22"/>
        </w:rPr>
        <w:t xml:space="preserve"> </w:t>
      </w:r>
      <w:r w:rsidRPr="00651524">
        <w:rPr>
          <w:rFonts w:ascii="Calibri" w:eastAsia="ヒラギノ角ゴ Pro W3" w:hAnsi="Calibri"/>
          <w:szCs w:val="22"/>
        </w:rPr>
        <w:t>existing VAT legislation on public bodies and tax exemptions in the public interest.</w:t>
      </w:r>
    </w:p>
    <w:p w14:paraId="79112437" w14:textId="77777777" w:rsidR="00615203" w:rsidRDefault="00615203" w:rsidP="00615203">
      <w:pPr>
        <w:tabs>
          <w:tab w:val="num" w:pos="426"/>
        </w:tabs>
        <w:ind w:left="426" w:hanging="426"/>
        <w:rPr>
          <w:rFonts w:ascii="Calibri" w:hAnsi="Calibri"/>
          <w:szCs w:val="22"/>
        </w:rPr>
      </w:pPr>
    </w:p>
    <w:p w14:paraId="21A73D0E" w14:textId="77777777" w:rsidR="00615203" w:rsidRDefault="00615203" w:rsidP="009F422A">
      <w:pPr>
        <w:numPr>
          <w:ilvl w:val="0"/>
          <w:numId w:val="18"/>
        </w:numPr>
        <w:ind w:left="426" w:hanging="426"/>
        <w:rPr>
          <w:rFonts w:ascii="Calibri" w:hAnsi="Calibri"/>
          <w:szCs w:val="22"/>
        </w:rPr>
      </w:pPr>
      <w:r w:rsidRPr="004B7D0E">
        <w:rPr>
          <w:rFonts w:ascii="Calibri" w:hAnsi="Calibri"/>
          <w:szCs w:val="22"/>
        </w:rPr>
        <w:t xml:space="preserve">ECCVAT has been concerned about the impact of the VAT system on the work of charities for a long time and welcomes the opportunity to comment on this further in this supplementary submission as part of our response to the Commission’s Review of VAT rates. ECCVAT has welcomed previous acknowledgment by the Commission that charities suffer from distortions and </w:t>
      </w:r>
      <w:r>
        <w:rPr>
          <w:rFonts w:ascii="Calibri" w:hAnsi="Calibri"/>
          <w:szCs w:val="22"/>
        </w:rPr>
        <w:t xml:space="preserve">a </w:t>
      </w:r>
      <w:r w:rsidRPr="004B7D0E">
        <w:rPr>
          <w:rFonts w:ascii="Calibri" w:hAnsi="Calibri"/>
          <w:szCs w:val="22"/>
        </w:rPr>
        <w:t xml:space="preserve">lack of neutrality from the existing VAT system (and this was addressed in some detail in the </w:t>
      </w:r>
      <w:r>
        <w:rPr>
          <w:rFonts w:ascii="Calibri" w:hAnsi="Calibri"/>
          <w:szCs w:val="22"/>
        </w:rPr>
        <w:t xml:space="preserve">reports produced for the Commission by </w:t>
      </w:r>
      <w:r w:rsidRPr="004B7D0E">
        <w:rPr>
          <w:rFonts w:ascii="Calibri" w:hAnsi="Calibri"/>
          <w:szCs w:val="22"/>
        </w:rPr>
        <w:t xml:space="preserve">Copenhagen Economics on the VAT treatment of public bodies). </w:t>
      </w:r>
    </w:p>
    <w:p w14:paraId="27DE0B4B" w14:textId="77777777" w:rsidR="00615203" w:rsidRDefault="00615203" w:rsidP="00615203">
      <w:pPr>
        <w:tabs>
          <w:tab w:val="num" w:pos="426"/>
        </w:tabs>
        <w:ind w:left="426" w:hanging="426"/>
        <w:rPr>
          <w:rFonts w:ascii="Calibri" w:hAnsi="Calibri"/>
          <w:szCs w:val="22"/>
        </w:rPr>
      </w:pPr>
    </w:p>
    <w:p w14:paraId="0C64017C" w14:textId="77777777" w:rsidR="00615203" w:rsidRPr="00DC1913" w:rsidRDefault="00615203" w:rsidP="009F422A">
      <w:pPr>
        <w:numPr>
          <w:ilvl w:val="0"/>
          <w:numId w:val="18"/>
        </w:numPr>
        <w:ind w:left="426" w:hanging="426"/>
        <w:rPr>
          <w:rFonts w:ascii="Calibri" w:hAnsi="Calibri"/>
          <w:szCs w:val="22"/>
        </w:rPr>
      </w:pPr>
      <w:r w:rsidRPr="00DC1913">
        <w:rPr>
          <w:rFonts w:ascii="Calibri" w:hAnsi="Calibri"/>
          <w:szCs w:val="22"/>
        </w:rPr>
        <w:t xml:space="preserve">Reference is made throughout this submission to “charities”.  This term is taken to include </w:t>
      </w:r>
      <w:r>
        <w:rPr>
          <w:rFonts w:ascii="Calibri" w:hAnsi="Calibri"/>
          <w:szCs w:val="22"/>
        </w:rPr>
        <w:t xml:space="preserve">all </w:t>
      </w:r>
      <w:r w:rsidRPr="00DC1913">
        <w:rPr>
          <w:rFonts w:ascii="Calibri" w:hAnsi="Calibri"/>
          <w:szCs w:val="22"/>
        </w:rPr>
        <w:t>public benefit</w:t>
      </w:r>
      <w:r>
        <w:rPr>
          <w:rFonts w:ascii="Calibri" w:hAnsi="Calibri"/>
          <w:szCs w:val="22"/>
        </w:rPr>
        <w:t xml:space="preserve"> organisations, including public benefit</w:t>
      </w:r>
      <w:r w:rsidRPr="00DC1913">
        <w:rPr>
          <w:rFonts w:ascii="Calibri" w:hAnsi="Calibri"/>
          <w:szCs w:val="22"/>
        </w:rPr>
        <w:t xml:space="preserve"> foundations as well as charitable organisations providing services </w:t>
      </w:r>
      <w:r>
        <w:rPr>
          <w:rFonts w:ascii="Calibri" w:hAnsi="Calibri"/>
          <w:szCs w:val="22"/>
        </w:rPr>
        <w:t xml:space="preserve">that are </w:t>
      </w:r>
      <w:r w:rsidRPr="00DC1913">
        <w:rPr>
          <w:rFonts w:ascii="Calibri" w:hAnsi="Calibri"/>
          <w:szCs w:val="22"/>
        </w:rPr>
        <w:t>either outs</w:t>
      </w:r>
      <w:r>
        <w:rPr>
          <w:rFonts w:ascii="Calibri" w:hAnsi="Calibri"/>
          <w:szCs w:val="22"/>
        </w:rPr>
        <w:t>ide the scope of VAT or</w:t>
      </w:r>
      <w:r w:rsidRPr="00DC1913">
        <w:rPr>
          <w:rFonts w:ascii="Calibri" w:hAnsi="Calibri"/>
          <w:szCs w:val="22"/>
        </w:rPr>
        <w:t xml:space="preserve"> exempt.</w:t>
      </w:r>
    </w:p>
    <w:p w14:paraId="73999F3A" w14:textId="77777777" w:rsidR="00615203" w:rsidRPr="00DC1913" w:rsidRDefault="00615203" w:rsidP="00615203">
      <w:pPr>
        <w:rPr>
          <w:rFonts w:ascii="Calibri" w:hAnsi="Calibri"/>
          <w:szCs w:val="22"/>
        </w:rPr>
      </w:pPr>
    </w:p>
    <w:p w14:paraId="677E6236" w14:textId="77777777" w:rsidR="00615203" w:rsidRPr="00DC1913" w:rsidRDefault="00615203" w:rsidP="00615203">
      <w:pPr>
        <w:rPr>
          <w:rFonts w:ascii="Calibri" w:hAnsi="Calibri"/>
          <w:b/>
          <w:szCs w:val="22"/>
        </w:rPr>
      </w:pPr>
      <w:r>
        <w:rPr>
          <w:rFonts w:ascii="Calibri" w:hAnsi="Calibri"/>
          <w:b/>
          <w:szCs w:val="22"/>
        </w:rPr>
        <w:t>Charities and VAT</w:t>
      </w:r>
    </w:p>
    <w:p w14:paraId="768AB26A" w14:textId="77777777" w:rsidR="00615203" w:rsidRDefault="00615203" w:rsidP="00615203">
      <w:pPr>
        <w:rPr>
          <w:rFonts w:ascii="Calibri" w:hAnsi="Calibri"/>
          <w:szCs w:val="22"/>
        </w:rPr>
      </w:pPr>
    </w:p>
    <w:p w14:paraId="41EB95ED" w14:textId="77777777" w:rsidR="00615203" w:rsidRPr="00D857F2" w:rsidRDefault="00615203" w:rsidP="009F422A">
      <w:pPr>
        <w:numPr>
          <w:ilvl w:val="0"/>
          <w:numId w:val="18"/>
        </w:numPr>
        <w:ind w:left="426" w:hanging="426"/>
        <w:rPr>
          <w:rFonts w:ascii="Calibri" w:hAnsi="Calibri"/>
          <w:color w:val="000000"/>
          <w:szCs w:val="22"/>
        </w:rPr>
      </w:pPr>
      <w:r w:rsidRPr="00DC1913">
        <w:rPr>
          <w:rFonts w:ascii="Calibri" w:hAnsi="Calibri"/>
          <w:szCs w:val="22"/>
        </w:rPr>
        <w:t>The VAT system treats charities differently depending on the types of service they provide and whether or not they charge for their services.  Those that do not charge are treated as the final consumer even when they are not.  As a result, they are unable to recover VAT on the purchases (input VAT) made to support their activities. Most of the charities that charge for their services also suffer from irrecoverable VAT because their services are classified as exempt under Article 132 (1) a-q of the Princi</w:t>
      </w:r>
      <w:r>
        <w:rPr>
          <w:rFonts w:ascii="Calibri" w:hAnsi="Calibri"/>
          <w:szCs w:val="22"/>
        </w:rPr>
        <w:t xml:space="preserve">pal VAT Directive (2006/112/EC). </w:t>
      </w:r>
    </w:p>
    <w:p w14:paraId="05E38409" w14:textId="77777777" w:rsidR="00615203" w:rsidRDefault="00615203" w:rsidP="00615203">
      <w:pPr>
        <w:rPr>
          <w:rFonts w:ascii="Calibri" w:hAnsi="Calibri"/>
          <w:color w:val="000000"/>
          <w:szCs w:val="22"/>
        </w:rPr>
      </w:pPr>
    </w:p>
    <w:p w14:paraId="044D0612" w14:textId="77777777" w:rsidR="00615203" w:rsidRDefault="00615203" w:rsidP="009F422A">
      <w:pPr>
        <w:numPr>
          <w:ilvl w:val="0"/>
          <w:numId w:val="18"/>
        </w:numPr>
        <w:ind w:left="426" w:hanging="426"/>
        <w:rPr>
          <w:rFonts w:ascii="Calibri" w:hAnsi="Calibri"/>
          <w:color w:val="000000"/>
          <w:szCs w:val="22"/>
        </w:rPr>
      </w:pPr>
      <w:r>
        <w:rPr>
          <w:rFonts w:ascii="Calibri" w:hAnsi="Calibri"/>
          <w:color w:val="000000"/>
          <w:szCs w:val="22"/>
        </w:rPr>
        <w:t>While the VAT system was not cre</w:t>
      </w:r>
      <w:r w:rsidRPr="00D857F2">
        <w:rPr>
          <w:rFonts w:ascii="Calibri" w:hAnsi="Calibri"/>
          <w:color w:val="000000"/>
          <w:szCs w:val="22"/>
        </w:rPr>
        <w:t xml:space="preserve">ated with charities directly in mind, it certainly had a level of charitable intent by identifying classes of consumer and goods and services which should be exempted from VAT (the Social Exemptions). However, the system is </w:t>
      </w:r>
      <w:r>
        <w:rPr>
          <w:rFonts w:ascii="Calibri" w:hAnsi="Calibri"/>
          <w:color w:val="000000"/>
          <w:szCs w:val="22"/>
        </w:rPr>
        <w:t xml:space="preserve">inadequate </w:t>
      </w:r>
      <w:r w:rsidRPr="00D857F2">
        <w:rPr>
          <w:rFonts w:ascii="Calibri" w:hAnsi="Calibri"/>
          <w:color w:val="000000"/>
          <w:szCs w:val="22"/>
        </w:rPr>
        <w:t>as there is limited flexibility as to who and what should get relief, the goods or services cannot be provided for free to the consumer and, even then,</w:t>
      </w:r>
      <w:r>
        <w:rPr>
          <w:rFonts w:ascii="Calibri" w:hAnsi="Calibri"/>
          <w:color w:val="000000"/>
          <w:szCs w:val="22"/>
        </w:rPr>
        <w:t xml:space="preserve"> </w:t>
      </w:r>
      <w:r w:rsidRPr="00D857F2">
        <w:rPr>
          <w:rFonts w:ascii="Calibri" w:hAnsi="Calibri"/>
          <w:color w:val="000000"/>
          <w:szCs w:val="22"/>
        </w:rPr>
        <w:t>full relief is not achieved as VAT is still an embedded cost at some point along the supply chain</w:t>
      </w:r>
      <w:r>
        <w:rPr>
          <w:rFonts w:ascii="Calibri" w:hAnsi="Calibri"/>
          <w:color w:val="000000"/>
          <w:szCs w:val="22"/>
        </w:rPr>
        <w:t xml:space="preserve"> – costing the providers of vital, socially-beneficial services significant amounts each year in irrecoverable VAT</w:t>
      </w:r>
      <w:r w:rsidRPr="00D857F2">
        <w:rPr>
          <w:rFonts w:ascii="Calibri" w:hAnsi="Calibri"/>
          <w:color w:val="000000"/>
          <w:szCs w:val="22"/>
        </w:rPr>
        <w:t>.</w:t>
      </w:r>
    </w:p>
    <w:p w14:paraId="19EE87E1" w14:textId="77777777" w:rsidR="00615203" w:rsidRDefault="00615203" w:rsidP="00615203">
      <w:pPr>
        <w:ind w:left="426"/>
        <w:rPr>
          <w:rFonts w:ascii="Calibri" w:hAnsi="Calibri"/>
          <w:color w:val="000000"/>
          <w:szCs w:val="22"/>
        </w:rPr>
      </w:pPr>
    </w:p>
    <w:p w14:paraId="6EDF8413" w14:textId="61C65B5A" w:rsidR="00615203" w:rsidRPr="00651524" w:rsidRDefault="00615203" w:rsidP="009F422A">
      <w:pPr>
        <w:numPr>
          <w:ilvl w:val="0"/>
          <w:numId w:val="18"/>
        </w:numPr>
        <w:autoSpaceDE w:val="0"/>
        <w:autoSpaceDN w:val="0"/>
        <w:adjustRightInd w:val="0"/>
        <w:ind w:left="426" w:hanging="426"/>
        <w:rPr>
          <w:rFonts w:ascii="Calibri" w:hAnsi="Calibri" w:cs="Lato-Regular"/>
          <w:szCs w:val="22"/>
        </w:rPr>
      </w:pPr>
      <w:r w:rsidRPr="00D857F2">
        <w:rPr>
          <w:rFonts w:ascii="Calibri" w:hAnsi="Calibri"/>
          <w:szCs w:val="22"/>
        </w:rPr>
        <w:t xml:space="preserve">According </w:t>
      </w:r>
      <w:r w:rsidRPr="00651524">
        <w:rPr>
          <w:rFonts w:ascii="Calibri" w:hAnsi="Calibri"/>
          <w:szCs w:val="22"/>
        </w:rPr>
        <w:t xml:space="preserve">to estimates by ECCVAT, charities in the EU lose about €6 billion a year in irrecoverable VAT.  </w:t>
      </w:r>
      <w:r w:rsidRPr="00651524">
        <w:rPr>
          <w:rFonts w:ascii="Calibri" w:hAnsi="Calibri" w:cs="Lato-Regular"/>
          <w:szCs w:val="22"/>
        </w:rPr>
        <w:t xml:space="preserve">This would be even higher </w:t>
      </w:r>
      <w:r>
        <w:rPr>
          <w:rFonts w:ascii="Calibri" w:hAnsi="Calibri" w:cs="Lato-Regular"/>
          <w:szCs w:val="22"/>
        </w:rPr>
        <w:t xml:space="preserve">were it </w:t>
      </w:r>
      <w:r w:rsidRPr="00651524">
        <w:rPr>
          <w:rFonts w:ascii="Calibri" w:hAnsi="Calibri" w:cs="Lato-Regular"/>
          <w:szCs w:val="22"/>
        </w:rPr>
        <w:t>not for reduced and super</w:t>
      </w:r>
      <w:r>
        <w:rPr>
          <w:rFonts w:ascii="Calibri" w:hAnsi="Calibri" w:cs="Lato-Regular"/>
          <w:szCs w:val="22"/>
        </w:rPr>
        <w:t>-</w:t>
      </w:r>
      <w:r w:rsidRPr="00651524">
        <w:rPr>
          <w:rFonts w:ascii="Calibri" w:hAnsi="Calibri" w:cs="Lato-Regular"/>
          <w:szCs w:val="22"/>
        </w:rPr>
        <w:t>reduced VAT rates and the introduction of national refund schemes in some Member States</w:t>
      </w:r>
      <w:r>
        <w:rPr>
          <w:rFonts w:ascii="Calibri" w:hAnsi="Calibri" w:cs="Lato-Regular"/>
          <w:szCs w:val="22"/>
        </w:rPr>
        <w:t>.</w:t>
      </w:r>
      <w:r w:rsidRPr="00651524">
        <w:rPr>
          <w:rFonts w:ascii="Calibri" w:hAnsi="Calibri" w:cs="Lato-Regular"/>
          <w:szCs w:val="22"/>
        </w:rPr>
        <w:t xml:space="preserve"> </w:t>
      </w:r>
      <w:r>
        <w:rPr>
          <w:rFonts w:ascii="Calibri" w:hAnsi="Calibri" w:cs="Lato-Regular"/>
          <w:szCs w:val="22"/>
        </w:rPr>
        <w:t>A</w:t>
      </w:r>
      <w:r w:rsidRPr="00651524">
        <w:rPr>
          <w:rFonts w:ascii="Calibri" w:hAnsi="Calibri" w:cs="Lato-Regular"/>
          <w:szCs w:val="22"/>
        </w:rPr>
        <w:t xml:space="preserve">lthough </w:t>
      </w:r>
      <w:r>
        <w:rPr>
          <w:rFonts w:ascii="Calibri" w:hAnsi="Calibri" w:cs="Lato-Regular"/>
          <w:szCs w:val="22"/>
        </w:rPr>
        <w:t xml:space="preserve">these reliefs and refund schemes are vital, they are </w:t>
      </w:r>
      <w:r w:rsidRPr="00651524">
        <w:rPr>
          <w:rFonts w:ascii="Calibri" w:hAnsi="Calibri" w:cs="Lato-Regular"/>
          <w:szCs w:val="22"/>
        </w:rPr>
        <w:t xml:space="preserve">unsatisfactory </w:t>
      </w:r>
      <w:r>
        <w:rPr>
          <w:rFonts w:ascii="Calibri" w:hAnsi="Calibri" w:cs="Lato-Regular"/>
          <w:szCs w:val="22"/>
        </w:rPr>
        <w:t xml:space="preserve">in that they create a </w:t>
      </w:r>
      <w:r w:rsidRPr="00651524">
        <w:rPr>
          <w:rFonts w:ascii="Calibri" w:hAnsi="Calibri" w:cs="Lato-Regular"/>
          <w:szCs w:val="22"/>
        </w:rPr>
        <w:t xml:space="preserve">more complex VAT system, </w:t>
      </w:r>
      <w:r>
        <w:rPr>
          <w:rFonts w:ascii="Calibri" w:hAnsi="Calibri" w:cs="Lato-Regular"/>
          <w:szCs w:val="22"/>
        </w:rPr>
        <w:t xml:space="preserve">which has made limited progress on </w:t>
      </w:r>
      <w:r w:rsidRPr="00651524">
        <w:rPr>
          <w:rFonts w:ascii="Calibri" w:hAnsi="Calibri" w:cs="Lato-Regular"/>
          <w:szCs w:val="22"/>
        </w:rPr>
        <w:t>reforms and simplifications due to the need for Member State unanimity on tax issues. Full exemption with refund for charities would be fairer, easier to understand and simpler to administer.</w:t>
      </w:r>
    </w:p>
    <w:p w14:paraId="0FDAB5BB" w14:textId="77777777" w:rsidR="00615203" w:rsidRDefault="00615203" w:rsidP="00615203">
      <w:pPr>
        <w:ind w:left="426"/>
        <w:rPr>
          <w:rFonts w:ascii="Calibri" w:hAnsi="Calibri"/>
          <w:color w:val="000000"/>
          <w:szCs w:val="22"/>
        </w:rPr>
      </w:pPr>
    </w:p>
    <w:p w14:paraId="547A7EE7" w14:textId="77777777" w:rsidR="00615203" w:rsidRDefault="00615203" w:rsidP="009F422A">
      <w:pPr>
        <w:numPr>
          <w:ilvl w:val="0"/>
          <w:numId w:val="18"/>
        </w:numPr>
        <w:ind w:left="426" w:hanging="426"/>
        <w:rPr>
          <w:rFonts w:ascii="Calibri" w:hAnsi="Calibri"/>
          <w:color w:val="000000"/>
          <w:szCs w:val="22"/>
        </w:rPr>
      </w:pPr>
      <w:r w:rsidRPr="00433E6E">
        <w:rPr>
          <w:rFonts w:ascii="Calibri" w:hAnsi="Calibri"/>
          <w:szCs w:val="22"/>
        </w:rPr>
        <w:t xml:space="preserve">The current VAT system has a detrimental effect on the work of charities in Europe. The economic crisis, recent increases in VAT rates in certain Member States and funding difficulties have put the sector under significant financial strain. Additional VAT costs </w:t>
      </w:r>
      <w:r>
        <w:rPr>
          <w:rFonts w:ascii="Calibri" w:hAnsi="Calibri"/>
          <w:szCs w:val="22"/>
        </w:rPr>
        <w:t xml:space="preserve">as a result of any reforms </w:t>
      </w:r>
      <w:r w:rsidRPr="00433E6E">
        <w:rPr>
          <w:rFonts w:ascii="Calibri" w:hAnsi="Calibri"/>
          <w:szCs w:val="22"/>
        </w:rPr>
        <w:t xml:space="preserve">would be very damaging and would compromise </w:t>
      </w:r>
      <w:r>
        <w:rPr>
          <w:rFonts w:ascii="Calibri" w:hAnsi="Calibri"/>
          <w:szCs w:val="22"/>
        </w:rPr>
        <w:t xml:space="preserve">the </w:t>
      </w:r>
      <w:r w:rsidRPr="00433E6E">
        <w:rPr>
          <w:rFonts w:ascii="Calibri" w:hAnsi="Calibri"/>
          <w:szCs w:val="22"/>
        </w:rPr>
        <w:t xml:space="preserve">ability </w:t>
      </w:r>
      <w:r>
        <w:rPr>
          <w:rFonts w:ascii="Calibri" w:hAnsi="Calibri"/>
          <w:szCs w:val="22"/>
        </w:rPr>
        <w:t xml:space="preserve">of charities </w:t>
      </w:r>
      <w:r w:rsidRPr="00433E6E">
        <w:rPr>
          <w:rFonts w:ascii="Calibri" w:hAnsi="Calibri"/>
          <w:szCs w:val="22"/>
        </w:rPr>
        <w:t xml:space="preserve">to deliver their services and </w:t>
      </w:r>
      <w:r>
        <w:rPr>
          <w:rFonts w:ascii="Calibri" w:hAnsi="Calibri"/>
          <w:szCs w:val="22"/>
        </w:rPr>
        <w:t xml:space="preserve">would also </w:t>
      </w:r>
      <w:r w:rsidRPr="00433E6E">
        <w:rPr>
          <w:rFonts w:ascii="Calibri" w:hAnsi="Calibri"/>
          <w:szCs w:val="22"/>
        </w:rPr>
        <w:t xml:space="preserve">have a significant negative impact on the beneficiaries of services provided by charities. ECCVAT hopes that the Commission will continue to take into account the unique position of charities and carefully considers every potential impact of future reform measures on the sector. </w:t>
      </w:r>
    </w:p>
    <w:p w14:paraId="7A63580E" w14:textId="77777777" w:rsidR="00615203" w:rsidRDefault="00615203" w:rsidP="00615203">
      <w:pPr>
        <w:ind w:left="426"/>
        <w:rPr>
          <w:rFonts w:ascii="Calibri" w:hAnsi="Calibri"/>
          <w:color w:val="000000"/>
          <w:szCs w:val="22"/>
        </w:rPr>
      </w:pPr>
    </w:p>
    <w:p w14:paraId="5035FFC1" w14:textId="77777777" w:rsidR="00615203" w:rsidRDefault="00615203" w:rsidP="009F422A">
      <w:pPr>
        <w:numPr>
          <w:ilvl w:val="0"/>
          <w:numId w:val="18"/>
        </w:numPr>
        <w:ind w:left="426" w:hanging="426"/>
        <w:rPr>
          <w:rFonts w:ascii="Calibri" w:hAnsi="Calibri"/>
          <w:color w:val="000000"/>
          <w:szCs w:val="22"/>
        </w:rPr>
      </w:pPr>
      <w:r w:rsidRPr="00433E6E">
        <w:rPr>
          <w:rFonts w:ascii="Calibri" w:hAnsi="Calibri"/>
          <w:szCs w:val="22"/>
        </w:rPr>
        <w:t xml:space="preserve">This is all the more important because in a number of Member States, we observe growing pressure on charities to play a greater role in providing social welfare services and on foundations to help support such work. The current system massively disadvantages charities as it favours the provision of these services by public bodies that are entitled to a refund of VAT while charities cannot recover VAT costs where the service is VAT exempted or financed by grants.  </w:t>
      </w:r>
    </w:p>
    <w:p w14:paraId="42A173E4" w14:textId="77777777" w:rsidR="00615203" w:rsidRDefault="00615203" w:rsidP="00615203">
      <w:pPr>
        <w:ind w:left="426"/>
        <w:rPr>
          <w:rFonts w:ascii="Calibri" w:hAnsi="Calibri"/>
          <w:color w:val="000000"/>
          <w:szCs w:val="22"/>
        </w:rPr>
      </w:pPr>
    </w:p>
    <w:p w14:paraId="46E7D76E" w14:textId="7AEBA342" w:rsidR="00615203" w:rsidRPr="00433E6E" w:rsidRDefault="00615203" w:rsidP="009F422A">
      <w:pPr>
        <w:numPr>
          <w:ilvl w:val="0"/>
          <w:numId w:val="18"/>
        </w:numPr>
        <w:ind w:left="426" w:hanging="426"/>
        <w:rPr>
          <w:rFonts w:ascii="Calibri" w:hAnsi="Calibri"/>
          <w:color w:val="000000"/>
          <w:szCs w:val="22"/>
        </w:rPr>
      </w:pPr>
      <w:r w:rsidRPr="00433E6E">
        <w:rPr>
          <w:rFonts w:ascii="Calibri" w:hAnsi="Calibri"/>
          <w:szCs w:val="22"/>
        </w:rPr>
        <w:t>The current rules as written have led to interpretation problems and disputes on what constitute business or non-business activities, often because it is not clear whether what is being done is a non-economic activity provided in return for a grant or an activity within the scope of the tax (even if it is exempt) provided for consideration under a contract for services. More clarification would be welcome. In practice</w:t>
      </w:r>
      <w:r w:rsidR="001027D2">
        <w:rPr>
          <w:rFonts w:ascii="Calibri" w:hAnsi="Calibri"/>
          <w:szCs w:val="22"/>
        </w:rPr>
        <w:t>,</w:t>
      </w:r>
      <w:r w:rsidRPr="00433E6E">
        <w:rPr>
          <w:rFonts w:ascii="Calibri" w:hAnsi="Calibri"/>
          <w:szCs w:val="22"/>
        </w:rPr>
        <w:t xml:space="preserve"> it has become particularly hard for charities, those public bodies commissioning their services and the tax authorities in many Member States to distinguish between business and non-business activities in a consistent and fair way.  Much clearer guidance is needed in most Member States in this area. </w:t>
      </w:r>
    </w:p>
    <w:p w14:paraId="47407C7D" w14:textId="77777777" w:rsidR="00615203" w:rsidRDefault="00615203" w:rsidP="00615203">
      <w:pPr>
        <w:rPr>
          <w:rFonts w:ascii="Calibri" w:hAnsi="Calibri"/>
          <w:szCs w:val="22"/>
        </w:rPr>
      </w:pPr>
    </w:p>
    <w:p w14:paraId="0FF4A5F9" w14:textId="77777777" w:rsidR="00615203" w:rsidRPr="00433E6E" w:rsidRDefault="00615203" w:rsidP="00615203">
      <w:pPr>
        <w:rPr>
          <w:rFonts w:ascii="Calibri" w:hAnsi="Calibri"/>
          <w:b/>
          <w:szCs w:val="22"/>
        </w:rPr>
      </w:pPr>
      <w:r w:rsidRPr="00433E6E">
        <w:rPr>
          <w:rFonts w:ascii="Calibri" w:hAnsi="Calibri"/>
          <w:b/>
          <w:szCs w:val="22"/>
        </w:rPr>
        <w:t>No “one-size fits all” solution</w:t>
      </w:r>
    </w:p>
    <w:p w14:paraId="378FFDC6" w14:textId="77777777" w:rsidR="00615203" w:rsidRPr="00DC1913" w:rsidRDefault="00615203" w:rsidP="00615203">
      <w:pPr>
        <w:ind w:left="720" w:hanging="720"/>
        <w:rPr>
          <w:rFonts w:ascii="Calibri" w:hAnsi="Calibri"/>
          <w:szCs w:val="22"/>
        </w:rPr>
      </w:pPr>
    </w:p>
    <w:p w14:paraId="2A07773D" w14:textId="0DAC7CE0" w:rsidR="00615203" w:rsidRDefault="00615203" w:rsidP="009F422A">
      <w:pPr>
        <w:numPr>
          <w:ilvl w:val="0"/>
          <w:numId w:val="18"/>
        </w:numPr>
        <w:ind w:left="426" w:hanging="426"/>
        <w:outlineLvl w:val="0"/>
        <w:rPr>
          <w:rFonts w:ascii="Calibri" w:hAnsi="Calibri" w:cs="Arial"/>
          <w:bCs/>
          <w:szCs w:val="22"/>
        </w:rPr>
      </w:pPr>
      <w:r w:rsidRPr="00DC1913">
        <w:rPr>
          <w:rFonts w:ascii="Calibri" w:hAnsi="Calibri" w:cs="Arial"/>
          <w:bCs/>
          <w:szCs w:val="22"/>
        </w:rPr>
        <w:t xml:space="preserve">ECCVAT understands that the ultimate objective of the </w:t>
      </w:r>
      <w:r>
        <w:rPr>
          <w:rFonts w:ascii="Calibri" w:hAnsi="Calibri" w:cs="Arial"/>
          <w:bCs/>
          <w:szCs w:val="22"/>
        </w:rPr>
        <w:t xml:space="preserve">Review </w:t>
      </w:r>
      <w:r w:rsidRPr="00DC1913">
        <w:rPr>
          <w:rFonts w:ascii="Calibri" w:hAnsi="Calibri" w:cs="Arial"/>
          <w:bCs/>
          <w:szCs w:val="22"/>
        </w:rPr>
        <w:t xml:space="preserve">is the </w:t>
      </w:r>
      <w:r>
        <w:rPr>
          <w:rFonts w:ascii="Calibri" w:hAnsi="Calibri" w:cs="Arial"/>
          <w:bCs/>
          <w:szCs w:val="22"/>
        </w:rPr>
        <w:t>simplification and greater effectiveness</w:t>
      </w:r>
      <w:r w:rsidRPr="00DC1913">
        <w:rPr>
          <w:rFonts w:ascii="Calibri" w:hAnsi="Calibri" w:cs="Arial"/>
          <w:bCs/>
          <w:szCs w:val="22"/>
        </w:rPr>
        <w:t xml:space="preserve"> of the EU taxation system. Once more, we would </w:t>
      </w:r>
      <w:r>
        <w:rPr>
          <w:rFonts w:ascii="Calibri" w:hAnsi="Calibri" w:cs="Arial"/>
          <w:bCs/>
          <w:szCs w:val="22"/>
        </w:rPr>
        <w:t xml:space="preserve">urge the </w:t>
      </w:r>
      <w:r w:rsidRPr="00DC1913">
        <w:rPr>
          <w:rFonts w:ascii="Calibri" w:hAnsi="Calibri" w:cs="Arial"/>
          <w:bCs/>
          <w:szCs w:val="22"/>
        </w:rPr>
        <w:t xml:space="preserve">Commission to keep in mind the diversity of the charity sector and its special role </w:t>
      </w:r>
      <w:r>
        <w:rPr>
          <w:rFonts w:ascii="Calibri" w:hAnsi="Calibri" w:cs="Arial"/>
          <w:bCs/>
          <w:szCs w:val="22"/>
        </w:rPr>
        <w:t>in</w:t>
      </w:r>
      <w:r w:rsidRPr="00DC1913">
        <w:rPr>
          <w:rFonts w:ascii="Calibri" w:hAnsi="Calibri" w:cs="Arial"/>
          <w:bCs/>
          <w:szCs w:val="22"/>
        </w:rPr>
        <w:t xml:space="preserve"> society</w:t>
      </w:r>
      <w:r>
        <w:rPr>
          <w:rFonts w:ascii="Calibri" w:hAnsi="Calibri" w:cs="Arial"/>
          <w:bCs/>
          <w:szCs w:val="22"/>
        </w:rPr>
        <w:t>.</w:t>
      </w:r>
      <w:r w:rsidRPr="00DC1913">
        <w:rPr>
          <w:rFonts w:ascii="Calibri" w:hAnsi="Calibri" w:cs="Arial"/>
          <w:bCs/>
          <w:szCs w:val="22"/>
        </w:rPr>
        <w:t xml:space="preserve"> ECCVAT also welcomes the effort</w:t>
      </w:r>
      <w:r>
        <w:rPr>
          <w:rFonts w:ascii="Calibri" w:hAnsi="Calibri" w:cs="Arial"/>
          <w:bCs/>
          <w:szCs w:val="22"/>
        </w:rPr>
        <w:t>s</w:t>
      </w:r>
      <w:r w:rsidRPr="00DC1913">
        <w:rPr>
          <w:rFonts w:ascii="Calibri" w:hAnsi="Calibri" w:cs="Arial"/>
          <w:bCs/>
          <w:szCs w:val="22"/>
        </w:rPr>
        <w:t xml:space="preserve"> </w:t>
      </w:r>
      <w:r>
        <w:rPr>
          <w:rFonts w:ascii="Calibri" w:hAnsi="Calibri" w:cs="Arial"/>
          <w:bCs/>
          <w:szCs w:val="22"/>
        </w:rPr>
        <w:t xml:space="preserve">being made </w:t>
      </w:r>
      <w:r w:rsidRPr="00DC1913">
        <w:rPr>
          <w:rFonts w:ascii="Calibri" w:hAnsi="Calibri" w:cs="Arial"/>
          <w:bCs/>
          <w:szCs w:val="22"/>
        </w:rPr>
        <w:t>to reduc</w:t>
      </w:r>
      <w:r>
        <w:rPr>
          <w:rFonts w:ascii="Calibri" w:hAnsi="Calibri" w:cs="Arial"/>
          <w:bCs/>
          <w:szCs w:val="22"/>
        </w:rPr>
        <w:t>e</w:t>
      </w:r>
      <w:r w:rsidRPr="00DC1913">
        <w:rPr>
          <w:rFonts w:ascii="Calibri" w:hAnsi="Calibri" w:cs="Arial"/>
          <w:bCs/>
          <w:szCs w:val="22"/>
        </w:rPr>
        <w:t xml:space="preserve"> unnecessary bureaucracy and </w:t>
      </w:r>
      <w:r>
        <w:rPr>
          <w:rFonts w:ascii="Calibri" w:hAnsi="Calibri" w:cs="Arial"/>
          <w:bCs/>
          <w:szCs w:val="22"/>
        </w:rPr>
        <w:t xml:space="preserve">to </w:t>
      </w:r>
      <w:r w:rsidRPr="00DC1913">
        <w:rPr>
          <w:rFonts w:ascii="Calibri" w:hAnsi="Calibri" w:cs="Arial"/>
          <w:bCs/>
          <w:szCs w:val="22"/>
        </w:rPr>
        <w:t>simplif</w:t>
      </w:r>
      <w:r>
        <w:rPr>
          <w:rFonts w:ascii="Calibri" w:hAnsi="Calibri" w:cs="Arial"/>
          <w:bCs/>
          <w:szCs w:val="22"/>
        </w:rPr>
        <w:t>y</w:t>
      </w:r>
      <w:r w:rsidRPr="00DC1913">
        <w:rPr>
          <w:rFonts w:ascii="Calibri" w:hAnsi="Calibri" w:cs="Arial"/>
          <w:bCs/>
          <w:szCs w:val="22"/>
        </w:rPr>
        <w:t xml:space="preserve"> the VAT system</w:t>
      </w:r>
      <w:r w:rsidR="001027D2">
        <w:rPr>
          <w:rFonts w:ascii="Calibri" w:hAnsi="Calibri" w:cs="Arial"/>
          <w:bCs/>
          <w:szCs w:val="22"/>
        </w:rPr>
        <w:t xml:space="preserve">; </w:t>
      </w:r>
      <w:r>
        <w:rPr>
          <w:rFonts w:ascii="Calibri" w:hAnsi="Calibri" w:cs="Arial"/>
          <w:bCs/>
          <w:szCs w:val="22"/>
        </w:rPr>
        <w:t xml:space="preserve">this </w:t>
      </w:r>
      <w:r w:rsidRPr="00DC1913">
        <w:rPr>
          <w:rFonts w:ascii="Calibri" w:hAnsi="Calibri" w:cs="Arial"/>
          <w:bCs/>
          <w:szCs w:val="22"/>
        </w:rPr>
        <w:t xml:space="preserve">is long overdue and </w:t>
      </w:r>
      <w:r>
        <w:rPr>
          <w:rFonts w:ascii="Calibri" w:hAnsi="Calibri" w:cs="Arial"/>
          <w:bCs/>
          <w:szCs w:val="22"/>
        </w:rPr>
        <w:t xml:space="preserve">reform </w:t>
      </w:r>
      <w:r w:rsidRPr="00DC1913">
        <w:rPr>
          <w:rFonts w:ascii="Calibri" w:hAnsi="Calibri" w:cs="Arial"/>
          <w:bCs/>
          <w:szCs w:val="22"/>
        </w:rPr>
        <w:t xml:space="preserve">would have a positive impact in terms of administrative costs for charities. </w:t>
      </w:r>
    </w:p>
    <w:p w14:paraId="7B761E9F" w14:textId="77777777" w:rsidR="00615203" w:rsidRPr="00DC1913" w:rsidRDefault="00615203" w:rsidP="00615203">
      <w:pPr>
        <w:ind w:left="426"/>
        <w:outlineLvl w:val="0"/>
        <w:rPr>
          <w:rFonts w:ascii="Calibri" w:hAnsi="Calibri" w:cs="Arial"/>
          <w:bCs/>
          <w:szCs w:val="22"/>
        </w:rPr>
      </w:pPr>
    </w:p>
    <w:p w14:paraId="7D81B431" w14:textId="77777777" w:rsidR="00615203" w:rsidRPr="00DC1913" w:rsidRDefault="00615203" w:rsidP="009F422A">
      <w:pPr>
        <w:numPr>
          <w:ilvl w:val="0"/>
          <w:numId w:val="18"/>
        </w:numPr>
        <w:ind w:left="426" w:hanging="426"/>
        <w:rPr>
          <w:rFonts w:ascii="Calibri" w:hAnsi="Calibri" w:cs="Arial"/>
          <w:szCs w:val="22"/>
        </w:rPr>
      </w:pPr>
      <w:r w:rsidRPr="00DC1913">
        <w:rPr>
          <w:rFonts w:ascii="Calibri" w:hAnsi="Calibri" w:cs="Arial"/>
          <w:szCs w:val="22"/>
        </w:rPr>
        <w:t xml:space="preserve">In our view, it is crucial that, in </w:t>
      </w:r>
      <w:r>
        <w:rPr>
          <w:rFonts w:ascii="Calibri" w:hAnsi="Calibri" w:cs="Arial"/>
          <w:szCs w:val="22"/>
        </w:rPr>
        <w:t>considering the direction of reform</w:t>
      </w:r>
      <w:r w:rsidRPr="00DC1913">
        <w:rPr>
          <w:rFonts w:ascii="Calibri" w:hAnsi="Calibri" w:cs="Arial"/>
          <w:szCs w:val="22"/>
        </w:rPr>
        <w:t xml:space="preserve">, the Commission should take into account the fact that the differing needs of </w:t>
      </w:r>
      <w:r w:rsidRPr="00DC1913">
        <w:rPr>
          <w:rFonts w:ascii="Calibri" w:hAnsi="Calibri" w:cs="Arial"/>
          <w:bCs/>
          <w:szCs w:val="22"/>
        </w:rPr>
        <w:t>four different types of charity have to be considered:</w:t>
      </w:r>
    </w:p>
    <w:p w14:paraId="73EAB482" w14:textId="77777777" w:rsidR="00615203" w:rsidRPr="00DC1913" w:rsidRDefault="00615203" w:rsidP="00615203">
      <w:pPr>
        <w:ind w:left="360"/>
        <w:outlineLvl w:val="0"/>
        <w:rPr>
          <w:rFonts w:ascii="Calibri" w:hAnsi="Calibri" w:cs="Arial"/>
          <w:bCs/>
          <w:szCs w:val="22"/>
        </w:rPr>
      </w:pPr>
    </w:p>
    <w:p w14:paraId="0E1BD10C" w14:textId="77777777" w:rsidR="00615203" w:rsidRPr="00DC1913" w:rsidRDefault="00615203" w:rsidP="00615203">
      <w:pPr>
        <w:numPr>
          <w:ilvl w:val="1"/>
          <w:numId w:val="1"/>
        </w:numPr>
        <w:tabs>
          <w:tab w:val="clear" w:pos="1440"/>
          <w:tab w:val="num" w:pos="1134"/>
        </w:tabs>
        <w:ind w:left="1134" w:hanging="425"/>
        <w:outlineLvl w:val="0"/>
        <w:rPr>
          <w:rFonts w:ascii="Calibri" w:hAnsi="Calibri" w:cs="Arial"/>
          <w:bCs/>
          <w:szCs w:val="22"/>
        </w:rPr>
      </w:pPr>
      <w:r w:rsidRPr="00DC1913">
        <w:rPr>
          <w:rFonts w:ascii="Calibri" w:hAnsi="Calibri" w:cs="Arial"/>
          <w:bCs/>
          <w:szCs w:val="22"/>
        </w:rPr>
        <w:t>Pure fundraising charities, which provide services for no charge (eg sea-rescue charities)</w:t>
      </w:r>
    </w:p>
    <w:p w14:paraId="5C2F6989" w14:textId="77777777" w:rsidR="00615203" w:rsidRPr="00DC1913" w:rsidRDefault="00615203" w:rsidP="00615203">
      <w:pPr>
        <w:numPr>
          <w:ilvl w:val="1"/>
          <w:numId w:val="1"/>
        </w:numPr>
        <w:tabs>
          <w:tab w:val="clear" w:pos="1440"/>
          <w:tab w:val="num" w:pos="1134"/>
        </w:tabs>
        <w:ind w:left="1134" w:hanging="425"/>
        <w:outlineLvl w:val="0"/>
        <w:rPr>
          <w:rFonts w:ascii="Calibri" w:hAnsi="Calibri" w:cs="Arial"/>
          <w:bCs/>
          <w:szCs w:val="22"/>
        </w:rPr>
      </w:pPr>
      <w:r w:rsidRPr="00DC1913">
        <w:rPr>
          <w:rFonts w:ascii="Calibri" w:hAnsi="Calibri" w:cs="Arial"/>
          <w:bCs/>
          <w:szCs w:val="22"/>
        </w:rPr>
        <w:t>Grant making trusts and foundations</w:t>
      </w:r>
    </w:p>
    <w:p w14:paraId="21F0A51B" w14:textId="77777777" w:rsidR="00615203" w:rsidRPr="00DC1913" w:rsidRDefault="00615203" w:rsidP="00615203">
      <w:pPr>
        <w:numPr>
          <w:ilvl w:val="1"/>
          <w:numId w:val="1"/>
        </w:numPr>
        <w:tabs>
          <w:tab w:val="clear" w:pos="1440"/>
          <w:tab w:val="num" w:pos="1134"/>
        </w:tabs>
        <w:ind w:left="1134" w:hanging="425"/>
        <w:outlineLvl w:val="0"/>
        <w:rPr>
          <w:rFonts w:ascii="Calibri" w:hAnsi="Calibri" w:cs="Arial"/>
          <w:bCs/>
          <w:szCs w:val="22"/>
        </w:rPr>
      </w:pPr>
      <w:r w:rsidRPr="00DC1913">
        <w:rPr>
          <w:rFonts w:ascii="Calibri" w:hAnsi="Calibri" w:cs="Arial"/>
          <w:bCs/>
          <w:szCs w:val="22"/>
        </w:rPr>
        <w:t>Charities providing the following types of service under contract often on behalf of the state:</w:t>
      </w:r>
    </w:p>
    <w:p w14:paraId="27FACBB6" w14:textId="77777777" w:rsidR="00615203" w:rsidRPr="00DC1913" w:rsidRDefault="00615203" w:rsidP="00615203">
      <w:pPr>
        <w:numPr>
          <w:ilvl w:val="2"/>
          <w:numId w:val="1"/>
        </w:numPr>
        <w:tabs>
          <w:tab w:val="clear" w:pos="2160"/>
          <w:tab w:val="num" w:pos="1701"/>
        </w:tabs>
        <w:ind w:hanging="742"/>
        <w:outlineLvl w:val="0"/>
        <w:rPr>
          <w:rFonts w:ascii="Calibri" w:hAnsi="Calibri" w:cs="Arial"/>
          <w:bCs/>
          <w:szCs w:val="22"/>
        </w:rPr>
      </w:pPr>
      <w:r w:rsidRPr="00DC1913">
        <w:rPr>
          <w:rFonts w:ascii="Calibri" w:hAnsi="Calibri" w:cs="Arial"/>
          <w:bCs/>
          <w:szCs w:val="22"/>
        </w:rPr>
        <w:t>Exempt</w:t>
      </w:r>
    </w:p>
    <w:p w14:paraId="5B65C2DB" w14:textId="77777777" w:rsidR="00615203" w:rsidRPr="00DC1913" w:rsidRDefault="00615203" w:rsidP="00615203">
      <w:pPr>
        <w:numPr>
          <w:ilvl w:val="2"/>
          <w:numId w:val="1"/>
        </w:numPr>
        <w:tabs>
          <w:tab w:val="clear" w:pos="2160"/>
          <w:tab w:val="num" w:pos="1701"/>
        </w:tabs>
        <w:ind w:hanging="742"/>
        <w:outlineLvl w:val="0"/>
        <w:rPr>
          <w:rFonts w:ascii="Calibri" w:hAnsi="Calibri" w:cs="Arial"/>
          <w:bCs/>
          <w:szCs w:val="22"/>
        </w:rPr>
      </w:pPr>
      <w:r w:rsidRPr="00DC1913">
        <w:rPr>
          <w:rFonts w:ascii="Calibri" w:hAnsi="Calibri" w:cs="Arial"/>
          <w:bCs/>
          <w:szCs w:val="22"/>
        </w:rPr>
        <w:t>Non-business</w:t>
      </w:r>
      <w:r w:rsidRPr="00DC1913">
        <w:rPr>
          <w:rFonts w:ascii="Calibri" w:hAnsi="Calibri" w:cs="Arial"/>
          <w:bCs/>
          <w:szCs w:val="22"/>
        </w:rPr>
        <w:tab/>
      </w:r>
    </w:p>
    <w:p w14:paraId="69F13F2C" w14:textId="77777777" w:rsidR="00615203" w:rsidRPr="00DC1913" w:rsidRDefault="00615203" w:rsidP="00615203">
      <w:pPr>
        <w:numPr>
          <w:ilvl w:val="2"/>
          <w:numId w:val="1"/>
        </w:numPr>
        <w:tabs>
          <w:tab w:val="clear" w:pos="2160"/>
          <w:tab w:val="num" w:pos="1701"/>
        </w:tabs>
        <w:ind w:hanging="742"/>
        <w:outlineLvl w:val="0"/>
        <w:rPr>
          <w:rFonts w:ascii="Calibri" w:hAnsi="Calibri" w:cs="Arial"/>
          <w:bCs/>
          <w:szCs w:val="22"/>
        </w:rPr>
      </w:pPr>
      <w:r w:rsidRPr="00DC1913">
        <w:rPr>
          <w:rFonts w:ascii="Calibri" w:hAnsi="Calibri" w:cs="Arial"/>
          <w:bCs/>
          <w:szCs w:val="22"/>
        </w:rPr>
        <w:t>Taxable</w:t>
      </w:r>
    </w:p>
    <w:p w14:paraId="67115F3D" w14:textId="77777777" w:rsidR="00615203" w:rsidRDefault="00615203" w:rsidP="00615203">
      <w:pPr>
        <w:numPr>
          <w:ilvl w:val="2"/>
          <w:numId w:val="1"/>
        </w:numPr>
        <w:tabs>
          <w:tab w:val="clear" w:pos="2160"/>
          <w:tab w:val="num" w:pos="1701"/>
        </w:tabs>
        <w:ind w:hanging="742"/>
        <w:outlineLvl w:val="0"/>
        <w:rPr>
          <w:rFonts w:ascii="Calibri" w:hAnsi="Calibri" w:cs="Arial"/>
          <w:bCs/>
          <w:szCs w:val="22"/>
        </w:rPr>
      </w:pPr>
      <w:r w:rsidRPr="00DC1913">
        <w:rPr>
          <w:rFonts w:ascii="Calibri" w:hAnsi="Calibri" w:cs="Arial"/>
          <w:bCs/>
          <w:szCs w:val="22"/>
        </w:rPr>
        <w:t xml:space="preserve">A mixture of </w:t>
      </w:r>
      <w:r>
        <w:rPr>
          <w:rFonts w:ascii="Calibri" w:hAnsi="Calibri" w:cs="Arial"/>
          <w:bCs/>
          <w:szCs w:val="22"/>
        </w:rPr>
        <w:t xml:space="preserve">two or </w:t>
      </w:r>
      <w:r w:rsidRPr="00DC1913">
        <w:rPr>
          <w:rFonts w:ascii="Calibri" w:hAnsi="Calibri" w:cs="Arial"/>
          <w:bCs/>
          <w:szCs w:val="22"/>
        </w:rPr>
        <w:t>all three</w:t>
      </w:r>
    </w:p>
    <w:p w14:paraId="207F825A" w14:textId="77777777" w:rsidR="00615203" w:rsidRPr="008022E3" w:rsidRDefault="00615203" w:rsidP="00615203">
      <w:pPr>
        <w:numPr>
          <w:ilvl w:val="1"/>
          <w:numId w:val="1"/>
        </w:numPr>
        <w:tabs>
          <w:tab w:val="clear" w:pos="1440"/>
          <w:tab w:val="num" w:pos="1134"/>
        </w:tabs>
        <w:ind w:left="1134" w:hanging="425"/>
        <w:outlineLvl w:val="0"/>
        <w:rPr>
          <w:rFonts w:ascii="Calibri" w:eastAsia="ヒラギノ角ゴ Pro W3" w:hAnsi="Calibri"/>
          <w:szCs w:val="22"/>
        </w:rPr>
      </w:pPr>
      <w:r w:rsidRPr="007619FF">
        <w:rPr>
          <w:rFonts w:ascii="Calibri" w:hAnsi="Calibri" w:cs="Arial"/>
          <w:bCs/>
          <w:szCs w:val="22"/>
        </w:rPr>
        <w:t>Hybrid charities (ie those that fundraise and supply non-business services and/or grant making as well as providing services under contract).</w:t>
      </w:r>
    </w:p>
    <w:p w14:paraId="56B86C58" w14:textId="77777777" w:rsidR="00615203" w:rsidRPr="007619FF" w:rsidRDefault="00615203" w:rsidP="00615203">
      <w:pPr>
        <w:ind w:left="720"/>
        <w:outlineLvl w:val="0"/>
        <w:rPr>
          <w:rFonts w:ascii="Calibri" w:eastAsia="ヒラギノ角ゴ Pro W3" w:hAnsi="Calibri"/>
          <w:szCs w:val="22"/>
        </w:rPr>
      </w:pPr>
    </w:p>
    <w:p w14:paraId="32A9FA61" w14:textId="77777777" w:rsidR="008022E3" w:rsidRPr="007619FF" w:rsidRDefault="008022E3" w:rsidP="008022E3">
      <w:pPr>
        <w:ind w:left="720"/>
        <w:outlineLvl w:val="0"/>
        <w:rPr>
          <w:rFonts w:ascii="Calibri" w:eastAsia="ヒラギノ角ゴ Pro W3" w:hAnsi="Calibri"/>
          <w:szCs w:val="22"/>
        </w:rPr>
      </w:pPr>
    </w:p>
    <w:p w14:paraId="3DF73454" w14:textId="77777777" w:rsidR="00A63D01" w:rsidRPr="00835B40" w:rsidRDefault="00BA038D" w:rsidP="00A63D01">
      <w:pPr>
        <w:rPr>
          <w:rFonts w:ascii="Calibri" w:hAnsi="Calibri" w:cs="Calibri"/>
          <w:szCs w:val="22"/>
        </w:rPr>
      </w:pPr>
      <w:r>
        <w:rPr>
          <w:rFonts w:ascii="Calibri" w:eastAsia="ヒラギノ角ゴ Pro W3" w:hAnsi="Calibri"/>
          <w:szCs w:val="22"/>
        </w:rPr>
        <w:br w:type="page"/>
      </w:r>
      <w:r w:rsidR="00A63D01" w:rsidRPr="00835B40">
        <w:rPr>
          <w:rFonts w:ascii="Calibri" w:hAnsi="Calibri" w:cs="Calibri"/>
          <w:b/>
          <w:szCs w:val="22"/>
        </w:rPr>
        <w:lastRenderedPageBreak/>
        <w:t xml:space="preserve">Annex one:  </w:t>
      </w:r>
      <w:r w:rsidR="00A63D01" w:rsidRPr="00835B40">
        <w:rPr>
          <w:rFonts w:ascii="Calibri" w:hAnsi="Calibri" w:cs="Calibri"/>
          <w:szCs w:val="22"/>
        </w:rPr>
        <w:t>The following organisations support this submission</w:t>
      </w:r>
    </w:p>
    <w:tbl>
      <w:tblPr>
        <w:tblW w:w="10530" w:type="dxa"/>
        <w:tblInd w:w="-792" w:type="dxa"/>
        <w:tblLayout w:type="fixed"/>
        <w:tblCellMar>
          <w:top w:w="57" w:type="dxa"/>
          <w:left w:w="85" w:type="dxa"/>
          <w:bottom w:w="57" w:type="dxa"/>
          <w:right w:w="85" w:type="dxa"/>
        </w:tblCellMar>
        <w:tblLook w:val="01E0" w:firstRow="1" w:lastRow="1" w:firstColumn="1" w:lastColumn="1" w:noHBand="0" w:noVBand="0"/>
      </w:tblPr>
      <w:tblGrid>
        <w:gridCol w:w="5298"/>
        <w:gridCol w:w="5232"/>
      </w:tblGrid>
      <w:tr w:rsidR="00A63D01" w:rsidRPr="009B79CA" w14:paraId="19CC2B75" w14:textId="77777777" w:rsidTr="00D857F2">
        <w:trPr>
          <w:trHeight w:val="1555"/>
        </w:trPr>
        <w:tc>
          <w:tcPr>
            <w:tcW w:w="5298" w:type="dxa"/>
            <w:shd w:val="clear" w:color="auto" w:fill="auto"/>
          </w:tcPr>
          <w:p w14:paraId="4F9F533B" w14:textId="77777777" w:rsidR="00A63D01" w:rsidRPr="009B79CA" w:rsidRDefault="00381F92" w:rsidP="00A63D01">
            <w:pPr>
              <w:spacing w:before="360"/>
              <w:rPr>
                <w:rFonts w:ascii="Calibri" w:hAnsi="Calibri" w:cs="Calibri"/>
                <w:b/>
                <w:szCs w:val="22"/>
              </w:rPr>
            </w:pPr>
            <w:r w:rsidRPr="009B79CA">
              <w:rPr>
                <w:rFonts w:ascii="Calibri" w:hAnsi="Calibri" w:cs="Calibri"/>
                <w:noProof/>
                <w:szCs w:val="22"/>
              </w:rPr>
              <w:drawing>
                <wp:inline distT="0" distB="0" distL="0" distR="0" wp14:anchorId="3EE68EF4" wp14:editId="2E06EF66">
                  <wp:extent cx="2390775" cy="409575"/>
                  <wp:effectExtent l="0" t="0" r="0" b="0"/>
                  <wp:docPr id="1" name="Picture 1" descr="isobro_top_merg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obro_top_merged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0775" cy="409575"/>
                          </a:xfrm>
                          <a:prstGeom prst="rect">
                            <a:avLst/>
                          </a:prstGeom>
                          <a:noFill/>
                          <a:ln>
                            <a:noFill/>
                          </a:ln>
                        </pic:spPr>
                      </pic:pic>
                    </a:graphicData>
                  </a:graphic>
                </wp:inline>
              </w:drawing>
            </w:r>
          </w:p>
          <w:p w14:paraId="2E48DAAC" w14:textId="77777777" w:rsidR="00A63D01" w:rsidRPr="009B79CA" w:rsidRDefault="00A63D01" w:rsidP="00A63D01">
            <w:pPr>
              <w:spacing w:before="360"/>
              <w:rPr>
                <w:rFonts w:ascii="Calibri" w:hAnsi="Calibri" w:cs="Calibri"/>
                <w:b/>
                <w:szCs w:val="22"/>
              </w:rPr>
            </w:pPr>
          </w:p>
        </w:tc>
        <w:tc>
          <w:tcPr>
            <w:tcW w:w="5232" w:type="dxa"/>
            <w:shd w:val="clear" w:color="auto" w:fill="auto"/>
          </w:tcPr>
          <w:p w14:paraId="3BF9C2F7" w14:textId="77777777" w:rsidR="0085339A" w:rsidRDefault="0085339A" w:rsidP="00A63D01">
            <w:pPr>
              <w:spacing w:before="360"/>
              <w:rPr>
                <w:rFonts w:ascii="Calibri" w:hAnsi="Calibri" w:cs="Calibri"/>
                <w:b/>
                <w:szCs w:val="22"/>
              </w:rPr>
            </w:pPr>
            <w:r w:rsidRPr="0085339A">
              <w:rPr>
                <w:rFonts w:ascii="Calibri" w:hAnsi="Calibri" w:cs="Calibri"/>
                <w:b/>
                <w:szCs w:val="22"/>
              </w:rPr>
              <w:t>Isobro – Danish Fundraising Association (</w:t>
            </w:r>
            <w:smartTag w:uri="urn:schemas-microsoft-com:office:smarttags" w:element="country-region">
              <w:smartTag w:uri="urn:schemas-microsoft-com:office:smarttags" w:element="place">
                <w:r w:rsidRPr="0085339A">
                  <w:rPr>
                    <w:rFonts w:ascii="Calibri" w:hAnsi="Calibri" w:cs="Calibri"/>
                    <w:b/>
                    <w:szCs w:val="22"/>
                  </w:rPr>
                  <w:t>Denmark</w:t>
                </w:r>
              </w:smartTag>
            </w:smartTag>
            <w:r w:rsidRPr="0085339A">
              <w:rPr>
                <w:rFonts w:ascii="Calibri" w:hAnsi="Calibri" w:cs="Calibri"/>
                <w:b/>
                <w:szCs w:val="22"/>
              </w:rPr>
              <w:t>)”</w:t>
            </w:r>
          </w:p>
          <w:p w14:paraId="77B94655" w14:textId="77777777" w:rsidR="00A63D01" w:rsidRPr="009B79CA" w:rsidRDefault="00D14026" w:rsidP="00A63D01">
            <w:pPr>
              <w:spacing w:before="360"/>
              <w:rPr>
                <w:rFonts w:ascii="Calibri" w:hAnsi="Calibri" w:cs="Calibri"/>
                <w:b/>
                <w:szCs w:val="22"/>
              </w:rPr>
            </w:pPr>
            <w:hyperlink r:id="rId10" w:history="1">
              <w:r w:rsidR="00433E6E" w:rsidRPr="005F6F87">
                <w:rPr>
                  <w:rStyle w:val="Hyperlink"/>
                  <w:rFonts w:ascii="Calibri" w:hAnsi="Calibri" w:cs="Calibri"/>
                  <w:szCs w:val="22"/>
                </w:rPr>
                <w:t>www.isobro.dk/</w:t>
              </w:r>
            </w:hyperlink>
            <w:r w:rsidR="00A63D01" w:rsidRPr="009B79CA">
              <w:rPr>
                <w:rFonts w:ascii="Calibri" w:hAnsi="Calibri" w:cs="Calibri"/>
                <w:szCs w:val="22"/>
              </w:rPr>
              <w:t xml:space="preserve"> </w:t>
            </w:r>
          </w:p>
        </w:tc>
      </w:tr>
      <w:tr w:rsidR="00A63D01" w:rsidRPr="009B79CA" w14:paraId="5B9D22B0" w14:textId="77777777" w:rsidTr="00D857F2">
        <w:trPr>
          <w:trHeight w:val="1624"/>
        </w:trPr>
        <w:tc>
          <w:tcPr>
            <w:tcW w:w="5298" w:type="dxa"/>
            <w:shd w:val="clear" w:color="auto" w:fill="auto"/>
          </w:tcPr>
          <w:p w14:paraId="48ABF5A7" w14:textId="77777777" w:rsidR="00A63D01" w:rsidRPr="009B79CA" w:rsidRDefault="00381F92" w:rsidP="00A63D01">
            <w:pPr>
              <w:spacing w:before="360"/>
              <w:rPr>
                <w:rFonts w:ascii="Calibri" w:hAnsi="Calibri" w:cs="Calibri"/>
                <w:b/>
                <w:szCs w:val="22"/>
              </w:rPr>
            </w:pPr>
            <w:r w:rsidRPr="009B79CA">
              <w:rPr>
                <w:rFonts w:ascii="Calibri" w:hAnsi="Calibri" w:cs="Calibri"/>
                <w:noProof/>
                <w:szCs w:val="22"/>
              </w:rPr>
              <w:drawing>
                <wp:inline distT="0" distB="0" distL="0" distR="0" wp14:anchorId="5B1ADDD7" wp14:editId="30BD6D61">
                  <wp:extent cx="819150" cy="866775"/>
                  <wp:effectExtent l="0" t="0" r="0" b="0"/>
                  <wp:docPr id="2" name="il_fi" descr="71176_61157173597_1013669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71176_61157173597_1013669_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9150" cy="866775"/>
                          </a:xfrm>
                          <a:prstGeom prst="rect">
                            <a:avLst/>
                          </a:prstGeom>
                          <a:noFill/>
                          <a:ln>
                            <a:noFill/>
                          </a:ln>
                        </pic:spPr>
                      </pic:pic>
                    </a:graphicData>
                  </a:graphic>
                </wp:inline>
              </w:drawing>
            </w:r>
          </w:p>
        </w:tc>
        <w:tc>
          <w:tcPr>
            <w:tcW w:w="5232" w:type="dxa"/>
            <w:shd w:val="clear" w:color="auto" w:fill="auto"/>
          </w:tcPr>
          <w:p w14:paraId="07FBF2D2" w14:textId="77777777" w:rsidR="00A63D01" w:rsidRPr="009B79CA" w:rsidRDefault="00A63D01" w:rsidP="00A63D01">
            <w:pPr>
              <w:spacing w:before="360"/>
              <w:rPr>
                <w:rFonts w:ascii="Calibri" w:hAnsi="Calibri" w:cs="Calibri"/>
                <w:b/>
                <w:szCs w:val="22"/>
              </w:rPr>
            </w:pPr>
            <w:r w:rsidRPr="009B79CA">
              <w:rPr>
                <w:rFonts w:ascii="Calibri" w:hAnsi="Calibri" w:cs="Calibri"/>
                <w:b/>
                <w:szCs w:val="22"/>
              </w:rPr>
              <w:t>European Foundation Centre (pan-European)</w:t>
            </w:r>
          </w:p>
          <w:p w14:paraId="679F0C06" w14:textId="77777777" w:rsidR="00A63D01" w:rsidRPr="00CC7B95" w:rsidRDefault="00D14026" w:rsidP="00A63D01">
            <w:pPr>
              <w:spacing w:before="360"/>
              <w:rPr>
                <w:rFonts w:ascii="Calibri" w:hAnsi="Calibri" w:cs="Calibri"/>
                <w:szCs w:val="22"/>
              </w:rPr>
            </w:pPr>
            <w:hyperlink r:id="rId12" w:history="1">
              <w:r w:rsidR="00D857F2" w:rsidRPr="005F6F87">
                <w:rPr>
                  <w:rStyle w:val="Hyperlink"/>
                  <w:rFonts w:ascii="Calibri" w:hAnsi="Calibri" w:cs="Calibri"/>
                  <w:szCs w:val="22"/>
                </w:rPr>
                <w:t>www.efc.be/Pages/default.aspx</w:t>
              </w:r>
            </w:hyperlink>
            <w:r w:rsidR="00CC7B95">
              <w:rPr>
                <w:rFonts w:ascii="Calibri" w:hAnsi="Calibri" w:cs="Calibri"/>
                <w:szCs w:val="22"/>
              </w:rPr>
              <w:t xml:space="preserve"> </w:t>
            </w:r>
          </w:p>
        </w:tc>
      </w:tr>
      <w:tr w:rsidR="00A63D01" w:rsidRPr="009B79CA" w14:paraId="6AE9119E" w14:textId="77777777" w:rsidTr="00D857F2">
        <w:trPr>
          <w:trHeight w:val="1200"/>
        </w:trPr>
        <w:tc>
          <w:tcPr>
            <w:tcW w:w="5298" w:type="dxa"/>
            <w:shd w:val="clear" w:color="auto" w:fill="auto"/>
          </w:tcPr>
          <w:p w14:paraId="364891FB" w14:textId="77777777" w:rsidR="00A63D01" w:rsidRPr="009B79CA" w:rsidRDefault="008022E3" w:rsidP="00A63D01">
            <w:pPr>
              <w:spacing w:before="360"/>
              <w:rPr>
                <w:rFonts w:ascii="Calibri" w:hAnsi="Calibri" w:cs="Calibri"/>
                <w:b/>
                <w:szCs w:val="22"/>
              </w:rPr>
            </w:pPr>
            <w:r>
              <w:rPr>
                <w:noProof/>
              </w:rPr>
              <w:drawing>
                <wp:inline distT="0" distB="0" distL="0" distR="0" wp14:anchorId="6E19E7C5" wp14:editId="72DD5FFB">
                  <wp:extent cx="807720" cy="807720"/>
                  <wp:effectExtent l="0" t="0" r="0" b="0"/>
                  <wp:docPr id="15" name="Picture 15" descr="Image result for charity tax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harity tax grou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5232" w:type="dxa"/>
            <w:shd w:val="clear" w:color="auto" w:fill="auto"/>
          </w:tcPr>
          <w:p w14:paraId="19150E12" w14:textId="77777777" w:rsidR="00A63D01" w:rsidRPr="009B79CA" w:rsidRDefault="00A63D01" w:rsidP="00A63D01">
            <w:pPr>
              <w:spacing w:before="360"/>
              <w:rPr>
                <w:rFonts w:ascii="Calibri" w:hAnsi="Calibri" w:cs="Calibri"/>
                <w:b/>
                <w:szCs w:val="22"/>
              </w:rPr>
            </w:pPr>
            <w:r w:rsidRPr="009B79CA">
              <w:rPr>
                <w:rFonts w:ascii="Calibri" w:hAnsi="Calibri" w:cs="Calibri"/>
                <w:b/>
                <w:szCs w:val="22"/>
              </w:rPr>
              <w:t>Charity Tax Group (UK)</w:t>
            </w:r>
          </w:p>
          <w:p w14:paraId="57C991BE" w14:textId="77777777" w:rsidR="00A63D01" w:rsidRPr="009B79CA" w:rsidRDefault="00D14026" w:rsidP="00A63D01">
            <w:pPr>
              <w:spacing w:before="360"/>
              <w:rPr>
                <w:rFonts w:ascii="Calibri" w:hAnsi="Calibri" w:cs="Calibri"/>
                <w:b/>
                <w:szCs w:val="22"/>
              </w:rPr>
            </w:pPr>
            <w:hyperlink r:id="rId14" w:history="1">
              <w:r w:rsidR="00433E6E" w:rsidRPr="005F6F87">
                <w:rPr>
                  <w:rStyle w:val="Hyperlink"/>
                  <w:rFonts w:ascii="Calibri" w:hAnsi="Calibri" w:cs="Calibri"/>
                  <w:szCs w:val="22"/>
                </w:rPr>
                <w:t>www.charitytaxgroup.org.uk</w:t>
              </w:r>
            </w:hyperlink>
            <w:r w:rsidR="00433E6E">
              <w:rPr>
                <w:rFonts w:ascii="Calibri" w:hAnsi="Calibri" w:cs="Calibri"/>
                <w:szCs w:val="22"/>
              </w:rPr>
              <w:t xml:space="preserve"> </w:t>
            </w:r>
            <w:r w:rsidR="00A63D01" w:rsidRPr="009B79CA">
              <w:rPr>
                <w:rFonts w:ascii="Calibri" w:hAnsi="Calibri" w:cs="Calibri"/>
                <w:szCs w:val="22"/>
              </w:rPr>
              <w:t xml:space="preserve"> </w:t>
            </w:r>
          </w:p>
        </w:tc>
      </w:tr>
      <w:tr w:rsidR="00A63D01" w:rsidRPr="009B79CA" w14:paraId="5ACCE977" w14:textId="77777777" w:rsidTr="00D857F2">
        <w:trPr>
          <w:trHeight w:val="1189"/>
        </w:trPr>
        <w:tc>
          <w:tcPr>
            <w:tcW w:w="5298" w:type="dxa"/>
            <w:shd w:val="clear" w:color="auto" w:fill="auto"/>
          </w:tcPr>
          <w:p w14:paraId="0A55D44F" w14:textId="77777777" w:rsidR="00A63D01" w:rsidRPr="009B79CA" w:rsidRDefault="008022E3" w:rsidP="00A63D01">
            <w:pPr>
              <w:spacing w:before="360"/>
              <w:rPr>
                <w:rFonts w:ascii="Calibri" w:hAnsi="Calibri" w:cs="Calibri"/>
                <w:b/>
                <w:szCs w:val="22"/>
              </w:rPr>
            </w:pPr>
            <w:r>
              <w:rPr>
                <w:noProof/>
              </w:rPr>
              <w:drawing>
                <wp:anchor distT="0" distB="0" distL="114300" distR="114300" simplePos="0" relativeHeight="251660288" behindDoc="0" locked="0" layoutInCell="1" allowOverlap="1" wp14:anchorId="31B82449" wp14:editId="0054C0FE">
                  <wp:simplePos x="0" y="0"/>
                  <wp:positionH relativeFrom="column">
                    <wp:posOffset>-626745</wp:posOffset>
                  </wp:positionH>
                  <wp:positionV relativeFrom="paragraph">
                    <wp:posOffset>0</wp:posOffset>
                  </wp:positionV>
                  <wp:extent cx="2407920" cy="1203960"/>
                  <wp:effectExtent l="0" t="0" r="0" b="0"/>
                  <wp:wrapNone/>
                  <wp:docPr id="14" name="Picture 14" descr="Image result for charities institute ire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harities institute irelan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7920" cy="1203960"/>
                          </a:xfrm>
                          <a:prstGeom prst="rect">
                            <a:avLst/>
                          </a:prstGeom>
                          <a:noFill/>
                          <a:ln>
                            <a:noFill/>
                          </a:ln>
                        </pic:spPr>
                      </pic:pic>
                    </a:graphicData>
                  </a:graphic>
                </wp:anchor>
              </w:drawing>
            </w:r>
          </w:p>
        </w:tc>
        <w:tc>
          <w:tcPr>
            <w:tcW w:w="5232" w:type="dxa"/>
            <w:shd w:val="clear" w:color="auto" w:fill="auto"/>
          </w:tcPr>
          <w:p w14:paraId="19BEA28F" w14:textId="77777777" w:rsidR="00A63D01" w:rsidRPr="009B79CA" w:rsidRDefault="00A63D01" w:rsidP="00A63D01">
            <w:pPr>
              <w:autoSpaceDE w:val="0"/>
              <w:autoSpaceDN w:val="0"/>
              <w:adjustRightInd w:val="0"/>
              <w:spacing w:before="360"/>
              <w:rPr>
                <w:rFonts w:ascii="Calibri" w:hAnsi="Calibri" w:cs="Calibri"/>
                <w:b/>
                <w:szCs w:val="22"/>
              </w:rPr>
            </w:pPr>
            <w:r w:rsidRPr="009B79CA">
              <w:rPr>
                <w:rFonts w:ascii="Calibri" w:hAnsi="Calibri" w:cs="Calibri"/>
                <w:b/>
                <w:szCs w:val="22"/>
              </w:rPr>
              <w:t>Irish Charity Tax Reform Group (Ireland)</w:t>
            </w:r>
          </w:p>
          <w:p w14:paraId="416F02D8" w14:textId="77777777" w:rsidR="00A63D01" w:rsidRPr="009B79CA" w:rsidRDefault="00D14026" w:rsidP="00A63D01">
            <w:pPr>
              <w:autoSpaceDE w:val="0"/>
              <w:autoSpaceDN w:val="0"/>
              <w:adjustRightInd w:val="0"/>
              <w:spacing w:before="360"/>
              <w:rPr>
                <w:rFonts w:ascii="Calibri" w:hAnsi="Calibri" w:cs="Calibri"/>
                <w:szCs w:val="22"/>
              </w:rPr>
            </w:pPr>
            <w:hyperlink r:id="rId16" w:history="1">
              <w:r w:rsidR="00A63D01" w:rsidRPr="009B79CA">
                <w:rPr>
                  <w:rStyle w:val="Hyperlink"/>
                  <w:rFonts w:ascii="Calibri" w:hAnsi="Calibri" w:cs="Calibri"/>
                  <w:szCs w:val="22"/>
                </w:rPr>
                <w:t>www.ictr.ie/</w:t>
              </w:r>
            </w:hyperlink>
            <w:r w:rsidR="00A63D01" w:rsidRPr="009B79CA">
              <w:rPr>
                <w:rFonts w:ascii="Calibri" w:hAnsi="Calibri" w:cs="Calibri"/>
                <w:szCs w:val="22"/>
              </w:rPr>
              <w:t xml:space="preserve"> </w:t>
            </w:r>
          </w:p>
        </w:tc>
      </w:tr>
      <w:tr w:rsidR="00A63D01" w:rsidRPr="009B79CA" w14:paraId="0260BBBC" w14:textId="77777777" w:rsidTr="00D857F2">
        <w:trPr>
          <w:trHeight w:val="1704"/>
        </w:trPr>
        <w:tc>
          <w:tcPr>
            <w:tcW w:w="5298" w:type="dxa"/>
            <w:shd w:val="clear" w:color="auto" w:fill="auto"/>
          </w:tcPr>
          <w:p w14:paraId="022561A3" w14:textId="77777777" w:rsidR="00A63D01" w:rsidRPr="009B79CA" w:rsidRDefault="00381F92" w:rsidP="00A63D01">
            <w:pPr>
              <w:spacing w:before="360"/>
              <w:rPr>
                <w:rFonts w:ascii="Calibri" w:hAnsi="Calibri" w:cs="Calibri"/>
                <w:b/>
                <w:szCs w:val="22"/>
              </w:rPr>
            </w:pPr>
            <w:r w:rsidRPr="009B79CA">
              <w:rPr>
                <w:rFonts w:ascii="Calibri" w:hAnsi="Calibri" w:cs="Calibri"/>
                <w:noProof/>
                <w:szCs w:val="22"/>
              </w:rPr>
              <w:drawing>
                <wp:inline distT="0" distB="0" distL="0" distR="0" wp14:anchorId="4E7C73CA" wp14:editId="1772E9F9">
                  <wp:extent cx="952500" cy="628650"/>
                  <wp:effectExtent l="0" t="0" r="0" b="0"/>
                  <wp:docPr id="4" name="il_fi" descr="daf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afn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0" cy="628650"/>
                          </a:xfrm>
                          <a:prstGeom prst="rect">
                            <a:avLst/>
                          </a:prstGeom>
                          <a:noFill/>
                          <a:ln>
                            <a:noFill/>
                          </a:ln>
                        </pic:spPr>
                      </pic:pic>
                    </a:graphicData>
                  </a:graphic>
                </wp:inline>
              </w:drawing>
            </w:r>
          </w:p>
        </w:tc>
        <w:tc>
          <w:tcPr>
            <w:tcW w:w="5232" w:type="dxa"/>
            <w:shd w:val="clear" w:color="auto" w:fill="auto"/>
          </w:tcPr>
          <w:p w14:paraId="6F1F50CD" w14:textId="77777777" w:rsidR="00A63D01" w:rsidRPr="009B79CA" w:rsidRDefault="00A63D01" w:rsidP="00A63D01">
            <w:pPr>
              <w:autoSpaceDE w:val="0"/>
              <w:autoSpaceDN w:val="0"/>
              <w:adjustRightInd w:val="0"/>
              <w:spacing w:before="360"/>
              <w:rPr>
                <w:rFonts w:ascii="Calibri" w:hAnsi="Calibri" w:cs="Calibri"/>
                <w:b/>
                <w:szCs w:val="22"/>
              </w:rPr>
            </w:pPr>
            <w:r w:rsidRPr="009B79CA">
              <w:rPr>
                <w:rFonts w:ascii="Calibri" w:hAnsi="Calibri" w:cs="Calibri"/>
                <w:b/>
                <w:szCs w:val="22"/>
              </w:rPr>
              <w:t xml:space="preserve">DAFNE (pan-European) – Donors and Foundations Networks in Europe – </w:t>
            </w:r>
            <w:r w:rsidRPr="009B79CA">
              <w:rPr>
                <w:rFonts w:ascii="Calibri" w:hAnsi="Calibri" w:cs="Calibri"/>
                <w:szCs w:val="22"/>
              </w:rPr>
              <w:t>has a collective membership of over 6,000 foundations</w:t>
            </w:r>
          </w:p>
          <w:p w14:paraId="1F6BB739" w14:textId="77777777" w:rsidR="00A63D01" w:rsidRPr="009B79CA" w:rsidRDefault="00D14026" w:rsidP="00A63D01">
            <w:pPr>
              <w:spacing w:before="360"/>
              <w:rPr>
                <w:rFonts w:ascii="Calibri" w:hAnsi="Calibri" w:cs="Calibri"/>
                <w:b/>
                <w:szCs w:val="22"/>
              </w:rPr>
            </w:pPr>
            <w:hyperlink r:id="rId18" w:history="1">
              <w:r w:rsidR="00A63D01" w:rsidRPr="009B79CA">
                <w:rPr>
                  <w:rStyle w:val="Hyperlink"/>
                  <w:rFonts w:ascii="Calibri" w:hAnsi="Calibri" w:cs="Calibri"/>
                  <w:szCs w:val="22"/>
                </w:rPr>
                <w:t>www.dafne-online.eu/Pages/default.aspx</w:t>
              </w:r>
            </w:hyperlink>
            <w:r w:rsidR="00A63D01" w:rsidRPr="009B79CA">
              <w:rPr>
                <w:rFonts w:ascii="Calibri" w:hAnsi="Calibri" w:cs="Calibri"/>
                <w:szCs w:val="22"/>
              </w:rPr>
              <w:t xml:space="preserve"> </w:t>
            </w:r>
          </w:p>
        </w:tc>
      </w:tr>
      <w:tr w:rsidR="00A63D01" w:rsidRPr="009B79CA" w14:paraId="41DDC8C5" w14:textId="77777777" w:rsidTr="00D857F2">
        <w:trPr>
          <w:trHeight w:val="1658"/>
        </w:trPr>
        <w:tc>
          <w:tcPr>
            <w:tcW w:w="5298" w:type="dxa"/>
            <w:shd w:val="clear" w:color="auto" w:fill="auto"/>
          </w:tcPr>
          <w:p w14:paraId="540ECD59" w14:textId="77777777" w:rsidR="00A63D01" w:rsidRDefault="00381F92" w:rsidP="00A63D01">
            <w:pPr>
              <w:spacing w:before="360"/>
              <w:rPr>
                <w:rFonts w:ascii="Verdana" w:hAnsi="Verdana"/>
                <w:color w:val="000080"/>
                <w:sz w:val="20"/>
                <w:szCs w:val="20"/>
              </w:rPr>
            </w:pPr>
            <w:r>
              <w:rPr>
                <w:noProof/>
              </w:rPr>
              <w:drawing>
                <wp:anchor distT="0" distB="0" distL="114300" distR="114300" simplePos="0" relativeHeight="251657216" behindDoc="0" locked="0" layoutInCell="1" allowOverlap="1" wp14:anchorId="2E86B24D" wp14:editId="0072FA56">
                  <wp:simplePos x="0" y="0"/>
                  <wp:positionH relativeFrom="column">
                    <wp:posOffset>6985</wp:posOffset>
                  </wp:positionH>
                  <wp:positionV relativeFrom="paragraph">
                    <wp:posOffset>226695</wp:posOffset>
                  </wp:positionV>
                  <wp:extent cx="876300" cy="876300"/>
                  <wp:effectExtent l="0" t="0" r="0" b="0"/>
                  <wp:wrapSquare wrapText="bothSides"/>
                  <wp:docPr id="9" name="Imagen_x0020_1" descr="Firma_electrónica_ipenalosa">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_x0020_1" descr="Firma_electrónica_ipenalosa">
                            <a:hlinkClick r:id="rId19"/>
                          </pic:cNvPr>
                          <pic:cNvPicPr>
                            <a:picLocks noChangeAspect="1" noChangeArrowheads="1"/>
                          </pic:cNvPicPr>
                        </pic:nvPicPr>
                        <pic:blipFill>
                          <a:blip r:embed="rId20" r:link="rId21">
                            <a:extLst>
                              <a:ext uri="{28A0092B-C50C-407E-A947-70E740481C1C}">
                                <a14:useLocalDpi xmlns:a14="http://schemas.microsoft.com/office/drawing/2010/main" val="0"/>
                              </a:ext>
                            </a:extLst>
                          </a:blip>
                          <a:srcRect r="59425" b="3586"/>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E8B60F" w14:textId="77777777" w:rsidR="00417AE1" w:rsidRPr="009B79CA" w:rsidRDefault="00417AE1" w:rsidP="00417AE1">
            <w:pPr>
              <w:tabs>
                <w:tab w:val="center" w:pos="1739"/>
              </w:tabs>
              <w:spacing w:before="360"/>
              <w:rPr>
                <w:rFonts w:ascii="Calibri" w:hAnsi="Calibri" w:cs="Calibri"/>
                <w:b/>
                <w:szCs w:val="22"/>
              </w:rPr>
            </w:pPr>
            <w:r>
              <w:rPr>
                <w:rFonts w:ascii="Calibri" w:hAnsi="Calibri" w:cs="Calibri"/>
                <w:b/>
                <w:szCs w:val="22"/>
              </w:rPr>
              <w:tab/>
            </w:r>
          </w:p>
        </w:tc>
        <w:tc>
          <w:tcPr>
            <w:tcW w:w="5232" w:type="dxa"/>
            <w:shd w:val="clear" w:color="auto" w:fill="auto"/>
          </w:tcPr>
          <w:p w14:paraId="389D4F6A" w14:textId="77777777" w:rsidR="00A63D01" w:rsidRPr="009B79CA" w:rsidRDefault="00A63D01" w:rsidP="00A63D01">
            <w:pPr>
              <w:spacing w:before="360"/>
              <w:rPr>
                <w:rFonts w:ascii="Calibri" w:hAnsi="Calibri" w:cs="Calibri"/>
                <w:b/>
                <w:szCs w:val="22"/>
              </w:rPr>
            </w:pPr>
            <w:r w:rsidRPr="009B79CA">
              <w:rPr>
                <w:rFonts w:ascii="Calibri" w:hAnsi="Calibri" w:cs="Calibri"/>
                <w:b/>
                <w:szCs w:val="22"/>
              </w:rPr>
              <w:t>Spanish Association of Foundations (</w:t>
            </w:r>
            <w:smartTag w:uri="urn:schemas-microsoft-com:office:smarttags" w:element="place">
              <w:smartTag w:uri="urn:schemas-microsoft-com:office:smarttags" w:element="country-region">
                <w:r w:rsidRPr="009B79CA">
                  <w:rPr>
                    <w:rFonts w:ascii="Calibri" w:hAnsi="Calibri" w:cs="Calibri"/>
                    <w:b/>
                    <w:szCs w:val="22"/>
                  </w:rPr>
                  <w:t>Spain</w:t>
                </w:r>
              </w:smartTag>
            </w:smartTag>
            <w:r w:rsidRPr="009B79CA">
              <w:rPr>
                <w:rFonts w:ascii="Calibri" w:hAnsi="Calibri" w:cs="Calibri"/>
                <w:b/>
                <w:szCs w:val="22"/>
              </w:rPr>
              <w:t>)</w:t>
            </w:r>
          </w:p>
          <w:p w14:paraId="05FC79EA" w14:textId="77777777" w:rsidR="00A63D01" w:rsidRPr="009B79CA" w:rsidRDefault="00D14026" w:rsidP="00A63D01">
            <w:pPr>
              <w:spacing w:before="360"/>
              <w:rPr>
                <w:rFonts w:ascii="Calibri" w:hAnsi="Calibri" w:cs="Calibri"/>
                <w:b/>
                <w:szCs w:val="22"/>
              </w:rPr>
            </w:pPr>
            <w:hyperlink r:id="rId22" w:history="1">
              <w:r w:rsidR="00A63D01" w:rsidRPr="009B79CA">
                <w:rPr>
                  <w:rStyle w:val="Hyperlink"/>
                  <w:rFonts w:ascii="Calibri" w:hAnsi="Calibri" w:cs="Calibri"/>
                  <w:szCs w:val="22"/>
                </w:rPr>
                <w:t>http://www.fundaciones.org/es/home</w:t>
              </w:r>
            </w:hyperlink>
            <w:r w:rsidR="00A63D01" w:rsidRPr="009B79CA">
              <w:rPr>
                <w:rFonts w:ascii="Calibri" w:hAnsi="Calibri" w:cs="Calibri"/>
                <w:szCs w:val="22"/>
              </w:rPr>
              <w:t xml:space="preserve"> </w:t>
            </w:r>
          </w:p>
        </w:tc>
      </w:tr>
      <w:tr w:rsidR="00A63D01" w:rsidRPr="009B79CA" w14:paraId="71A82026" w14:textId="77777777" w:rsidTr="00D857F2">
        <w:trPr>
          <w:trHeight w:val="1189"/>
        </w:trPr>
        <w:tc>
          <w:tcPr>
            <w:tcW w:w="5298" w:type="dxa"/>
            <w:shd w:val="clear" w:color="auto" w:fill="auto"/>
          </w:tcPr>
          <w:p w14:paraId="746C0155" w14:textId="77777777" w:rsidR="00A63D01" w:rsidRPr="009B79CA" w:rsidRDefault="008022E3" w:rsidP="00417AE1">
            <w:pPr>
              <w:spacing w:before="360"/>
              <w:jc w:val="center"/>
              <w:rPr>
                <w:rFonts w:ascii="Calibri" w:hAnsi="Calibri" w:cs="Calibri"/>
                <w:b/>
                <w:szCs w:val="22"/>
              </w:rPr>
            </w:pPr>
            <w:r w:rsidRPr="009B79CA">
              <w:rPr>
                <w:rFonts w:ascii="Calibri" w:hAnsi="Calibri" w:cs="Calibri"/>
                <w:noProof/>
                <w:szCs w:val="22"/>
              </w:rPr>
              <w:drawing>
                <wp:anchor distT="0" distB="0" distL="114300" distR="114300" simplePos="0" relativeHeight="251656192" behindDoc="1" locked="0" layoutInCell="1" allowOverlap="1" wp14:anchorId="55FA57DC" wp14:editId="0009699F">
                  <wp:simplePos x="0" y="0"/>
                  <wp:positionH relativeFrom="column">
                    <wp:posOffset>-88265</wp:posOffset>
                  </wp:positionH>
                  <wp:positionV relativeFrom="paragraph">
                    <wp:posOffset>26035</wp:posOffset>
                  </wp:positionV>
                  <wp:extent cx="1137920" cy="1095375"/>
                  <wp:effectExtent l="0" t="0" r="0" b="0"/>
                  <wp:wrapNone/>
                  <wp:docPr id="8" name="il_fi" descr="http://profile.ak.fbcdn.net/hprofile-ak-snc4/161972_133200100080309_756610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profile.ak.fbcdn.net/hprofile-ak-snc4/161972_133200100080309_7566104_n.jpg"/>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113792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232" w:type="dxa"/>
            <w:shd w:val="clear" w:color="auto" w:fill="auto"/>
          </w:tcPr>
          <w:p w14:paraId="6E7C1CED" w14:textId="77777777" w:rsidR="00A63D01" w:rsidRPr="009B79CA" w:rsidRDefault="00A63D01" w:rsidP="00A63D01">
            <w:pPr>
              <w:spacing w:before="360"/>
              <w:rPr>
                <w:rFonts w:ascii="Calibri" w:hAnsi="Calibri" w:cs="Calibri"/>
                <w:b/>
                <w:szCs w:val="22"/>
              </w:rPr>
            </w:pPr>
            <w:r w:rsidRPr="009B79CA">
              <w:rPr>
                <w:rFonts w:ascii="Calibri" w:hAnsi="Calibri" w:cs="Calibri"/>
                <w:b/>
                <w:szCs w:val="22"/>
              </w:rPr>
              <w:t>European Fundraising Association (pan-European)</w:t>
            </w:r>
          </w:p>
          <w:p w14:paraId="2A6EA477" w14:textId="77777777" w:rsidR="00A63D01" w:rsidRPr="009B79CA" w:rsidRDefault="00D14026" w:rsidP="00A63D01">
            <w:pPr>
              <w:spacing w:before="360"/>
              <w:rPr>
                <w:rFonts w:ascii="Calibri" w:hAnsi="Calibri" w:cs="Calibri"/>
                <w:b/>
                <w:szCs w:val="22"/>
              </w:rPr>
            </w:pPr>
            <w:hyperlink r:id="rId25" w:history="1">
              <w:r w:rsidR="00433E6E" w:rsidRPr="005F6F87">
                <w:rPr>
                  <w:rStyle w:val="Hyperlink"/>
                  <w:rFonts w:ascii="Calibri" w:hAnsi="Calibri" w:cs="Calibri"/>
                  <w:szCs w:val="22"/>
                </w:rPr>
                <w:t>www.efa-net.eu/</w:t>
              </w:r>
            </w:hyperlink>
            <w:r w:rsidR="00A63D01" w:rsidRPr="009B79CA">
              <w:rPr>
                <w:rFonts w:ascii="Calibri" w:hAnsi="Calibri" w:cs="Calibri"/>
                <w:szCs w:val="22"/>
              </w:rPr>
              <w:t xml:space="preserve"> </w:t>
            </w:r>
          </w:p>
        </w:tc>
      </w:tr>
      <w:tr w:rsidR="00A63D01" w:rsidRPr="009B79CA" w14:paraId="28274498" w14:textId="77777777" w:rsidTr="00D857F2">
        <w:trPr>
          <w:trHeight w:val="1452"/>
        </w:trPr>
        <w:tc>
          <w:tcPr>
            <w:tcW w:w="5298" w:type="dxa"/>
            <w:shd w:val="clear" w:color="auto" w:fill="auto"/>
          </w:tcPr>
          <w:p w14:paraId="59E6577A" w14:textId="77777777" w:rsidR="00A63D01" w:rsidRPr="009B79CA" w:rsidRDefault="00381F92" w:rsidP="00A63D01">
            <w:pPr>
              <w:spacing w:before="360"/>
              <w:rPr>
                <w:rFonts w:ascii="Calibri" w:hAnsi="Calibri" w:cs="Calibri"/>
                <w:b/>
                <w:szCs w:val="22"/>
              </w:rPr>
            </w:pPr>
            <w:r w:rsidRPr="009B79CA">
              <w:rPr>
                <w:rFonts w:ascii="Calibri" w:hAnsi="Calibri" w:cs="Calibri"/>
                <w:noProof/>
                <w:szCs w:val="22"/>
              </w:rPr>
              <w:drawing>
                <wp:inline distT="0" distB="0" distL="0" distR="0" wp14:anchorId="04259769" wp14:editId="312E55CA">
                  <wp:extent cx="1362075" cy="647700"/>
                  <wp:effectExtent l="0" t="0" r="0" b="0"/>
                  <wp:docPr id="6" name="Picture 6" descr="logo">
                    <a:hlinkClick xmlns:a="http://schemas.openxmlformats.org/drawingml/2006/main" r:id="rId26" tgtFrame="_paren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62075" cy="647700"/>
                          </a:xfrm>
                          <a:prstGeom prst="rect">
                            <a:avLst/>
                          </a:prstGeom>
                          <a:noFill/>
                          <a:ln>
                            <a:noFill/>
                          </a:ln>
                        </pic:spPr>
                      </pic:pic>
                    </a:graphicData>
                  </a:graphic>
                </wp:inline>
              </w:drawing>
            </w:r>
          </w:p>
        </w:tc>
        <w:tc>
          <w:tcPr>
            <w:tcW w:w="5232" w:type="dxa"/>
            <w:shd w:val="clear" w:color="auto" w:fill="auto"/>
          </w:tcPr>
          <w:p w14:paraId="74B6BEF4" w14:textId="77777777" w:rsidR="00A63D01" w:rsidRPr="009B79CA" w:rsidRDefault="00A63D01" w:rsidP="00A63D01">
            <w:pPr>
              <w:spacing w:before="360"/>
              <w:rPr>
                <w:rFonts w:ascii="Calibri" w:hAnsi="Calibri" w:cs="Calibri"/>
                <w:szCs w:val="22"/>
              </w:rPr>
            </w:pPr>
            <w:r w:rsidRPr="009B79CA">
              <w:rPr>
                <w:rFonts w:ascii="Calibri" w:hAnsi="Calibri" w:cs="Calibri"/>
                <w:b/>
                <w:szCs w:val="22"/>
              </w:rPr>
              <w:t xml:space="preserve">euroCom (Germany) – </w:t>
            </w:r>
            <w:r w:rsidRPr="009B79CA">
              <w:rPr>
                <w:rFonts w:ascii="Calibri" w:hAnsi="Calibri" w:cs="Calibri"/>
                <w:szCs w:val="22"/>
              </w:rPr>
              <w:t>improves the organisational competence and effectiveness of NGOs</w:t>
            </w:r>
          </w:p>
          <w:p w14:paraId="21C89C77" w14:textId="77777777" w:rsidR="00A63D01" w:rsidRPr="009B79CA" w:rsidRDefault="00D14026" w:rsidP="00A63D01">
            <w:pPr>
              <w:spacing w:before="360"/>
              <w:rPr>
                <w:rFonts w:ascii="Calibri" w:hAnsi="Calibri" w:cs="Calibri"/>
                <w:szCs w:val="22"/>
              </w:rPr>
            </w:pPr>
            <w:hyperlink r:id="rId28" w:history="1">
              <w:r w:rsidR="00A63D01" w:rsidRPr="009B79CA">
                <w:rPr>
                  <w:rStyle w:val="Hyperlink"/>
                  <w:rFonts w:ascii="Calibri" w:hAnsi="Calibri" w:cs="Calibri"/>
                  <w:szCs w:val="22"/>
                </w:rPr>
                <w:t>http://www.eurocom.org/english-site/index_main.htm</w:t>
              </w:r>
            </w:hyperlink>
            <w:r w:rsidR="00A63D01" w:rsidRPr="009B79CA">
              <w:rPr>
                <w:rFonts w:ascii="Calibri" w:hAnsi="Calibri" w:cs="Calibri"/>
                <w:szCs w:val="22"/>
              </w:rPr>
              <w:t xml:space="preserve"> </w:t>
            </w:r>
          </w:p>
        </w:tc>
      </w:tr>
    </w:tbl>
    <w:p w14:paraId="057F3A03" w14:textId="77777777" w:rsidR="00A63D01" w:rsidRPr="00835B40" w:rsidRDefault="00A63D01" w:rsidP="00A63D01">
      <w:pPr>
        <w:autoSpaceDE w:val="0"/>
        <w:autoSpaceDN w:val="0"/>
        <w:adjustRightInd w:val="0"/>
        <w:rPr>
          <w:rFonts w:ascii="Calibri" w:hAnsi="Calibri" w:cs="Calibri"/>
          <w:szCs w:val="22"/>
        </w:rPr>
      </w:pPr>
    </w:p>
    <w:p w14:paraId="7CE140CE" w14:textId="77777777" w:rsidR="00A63D01" w:rsidRPr="00CA3F5C" w:rsidRDefault="00A63D01" w:rsidP="00A63D01"/>
    <w:sectPr w:rsidR="00A63D01" w:rsidRPr="00CA3F5C" w:rsidSect="00D857F2">
      <w:footerReference w:type="even" r:id="rId29"/>
      <w:footerReference w:type="default" r:id="rId30"/>
      <w:headerReference w:type="first" r:id="rId31"/>
      <w:pgSz w:w="11906" w:h="16838" w:code="9"/>
      <w:pgMar w:top="993" w:right="1418" w:bottom="993"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994B1" w14:textId="77777777" w:rsidR="00D14026" w:rsidRDefault="00D14026">
      <w:r>
        <w:separator/>
      </w:r>
    </w:p>
  </w:endnote>
  <w:endnote w:type="continuationSeparator" w:id="0">
    <w:p w14:paraId="3682F3AD" w14:textId="77777777" w:rsidR="00D14026" w:rsidRDefault="00D14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Segoe UI"/>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ヒラギノ角ゴ Pro W3">
    <w:altName w:val="MS Mincho"/>
    <w:charset w:val="80"/>
    <w:family w:val="auto"/>
    <w:pitch w:val="variable"/>
    <w:sig w:usb0="00000001" w:usb1="00000000" w:usb2="01000407" w:usb3="00000000" w:csb0="00020000" w:csb1="00000000"/>
  </w:font>
  <w:font w:name="Lato-Regular">
    <w:altName w:val="Segoe U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81BC6" w14:textId="77777777" w:rsidR="008F0476" w:rsidRDefault="008F0476" w:rsidP="00AF09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4E548A" w14:textId="77777777" w:rsidR="008F0476" w:rsidRDefault="008F04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24EF4" w14:textId="148F59AB" w:rsidR="008F0476" w:rsidRDefault="008F0476" w:rsidP="00C17C65">
    <w:pPr>
      <w:pStyle w:val="Footer"/>
      <w:framePr w:wrap="around" w:vAnchor="text" w:hAnchor="page" w:x="10897" w:y="-31"/>
      <w:rPr>
        <w:rStyle w:val="PageNumber"/>
      </w:rPr>
    </w:pPr>
    <w:r>
      <w:rPr>
        <w:rStyle w:val="PageNumber"/>
      </w:rPr>
      <w:fldChar w:fldCharType="begin"/>
    </w:r>
    <w:r>
      <w:rPr>
        <w:rStyle w:val="PageNumber"/>
      </w:rPr>
      <w:instrText xml:space="preserve">PAGE  </w:instrText>
    </w:r>
    <w:r>
      <w:rPr>
        <w:rStyle w:val="PageNumber"/>
      </w:rPr>
      <w:fldChar w:fldCharType="separate"/>
    </w:r>
    <w:r w:rsidR="00AB0936">
      <w:rPr>
        <w:rStyle w:val="PageNumber"/>
        <w:noProof/>
      </w:rPr>
      <w:t>4</w:t>
    </w:r>
    <w:r>
      <w:rPr>
        <w:rStyle w:val="PageNumber"/>
      </w:rPr>
      <w:fldChar w:fldCharType="end"/>
    </w:r>
  </w:p>
  <w:p w14:paraId="0B6BBAB7" w14:textId="77777777" w:rsidR="008F0476" w:rsidRDefault="008F0476" w:rsidP="007619FF">
    <w:pPr>
      <w:ind w:right="962"/>
      <w:rPr>
        <w:lang w:bidi="x-none"/>
      </w:rPr>
    </w:pPr>
    <w:r>
      <w:rPr>
        <w:rFonts w:ascii="Arial Bold" w:hAnsi="Arial Bold"/>
        <w:sz w:val="16"/>
      </w:rPr>
      <w:t>Identification number in the Transparency Register: 72562234730-60</w:t>
    </w:r>
  </w:p>
  <w:p w14:paraId="3EE6AA50" w14:textId="77777777" w:rsidR="008F0476" w:rsidRDefault="008F04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C8403" w14:textId="77777777" w:rsidR="00D14026" w:rsidRDefault="00D14026">
      <w:r>
        <w:separator/>
      </w:r>
    </w:p>
  </w:footnote>
  <w:footnote w:type="continuationSeparator" w:id="0">
    <w:p w14:paraId="34D0E381" w14:textId="77777777" w:rsidR="00D14026" w:rsidRDefault="00D14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907" w:type="dxa"/>
      <w:jc w:val="center"/>
      <w:tblCellMar>
        <w:top w:w="113" w:type="dxa"/>
        <w:left w:w="113" w:type="dxa"/>
        <w:bottom w:w="113" w:type="dxa"/>
        <w:right w:w="113" w:type="dxa"/>
      </w:tblCellMar>
      <w:tblLook w:val="01E0" w:firstRow="1" w:lastRow="1" w:firstColumn="1" w:lastColumn="1" w:noHBand="0" w:noVBand="0"/>
    </w:tblPr>
    <w:tblGrid>
      <w:gridCol w:w="1576"/>
      <w:gridCol w:w="10331"/>
    </w:tblGrid>
    <w:tr w:rsidR="008F0476" w14:paraId="594F5B14" w14:textId="77777777">
      <w:trPr>
        <w:trHeight w:val="1073"/>
        <w:jc w:val="center"/>
      </w:trPr>
      <w:tc>
        <w:tcPr>
          <w:tcW w:w="1419" w:type="dxa"/>
          <w:shd w:val="clear" w:color="auto" w:fill="415A8E"/>
        </w:tcPr>
        <w:p w14:paraId="2914F664" w14:textId="77777777" w:rsidR="008F0476" w:rsidRPr="00F3399A" w:rsidRDefault="008F0476" w:rsidP="00A63D01">
          <w:pPr>
            <w:pStyle w:val="Header"/>
            <w:rPr>
              <w:szCs w:val="22"/>
            </w:rPr>
          </w:pPr>
          <w:r w:rsidRPr="00F3399A">
            <w:rPr>
              <w:noProof/>
              <w:szCs w:val="22"/>
            </w:rPr>
            <w:drawing>
              <wp:inline distT="0" distB="0" distL="0" distR="0" wp14:anchorId="6CC864C9" wp14:editId="5ECF6309">
                <wp:extent cx="857250" cy="666750"/>
                <wp:effectExtent l="0" t="0" r="0" b="0"/>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666750"/>
                        </a:xfrm>
                        <a:prstGeom prst="rect">
                          <a:avLst/>
                        </a:prstGeom>
                        <a:noFill/>
                        <a:ln>
                          <a:noFill/>
                        </a:ln>
                      </pic:spPr>
                    </pic:pic>
                  </a:graphicData>
                </a:graphic>
              </wp:inline>
            </w:drawing>
          </w:r>
        </w:p>
      </w:tc>
      <w:tc>
        <w:tcPr>
          <w:tcW w:w="10488" w:type="dxa"/>
          <w:shd w:val="clear" w:color="auto" w:fill="6C7EB0"/>
          <w:vAlign w:val="center"/>
        </w:tcPr>
        <w:p w14:paraId="243D28B5" w14:textId="77777777" w:rsidR="008F0476" w:rsidRPr="00F3399A" w:rsidRDefault="008F0476" w:rsidP="00A63D01">
          <w:pPr>
            <w:pStyle w:val="Header"/>
            <w:jc w:val="right"/>
            <w:rPr>
              <w:b/>
              <w:bCs/>
              <w:color w:val="FFFFFF"/>
              <w:sz w:val="24"/>
            </w:rPr>
          </w:pPr>
          <w:r w:rsidRPr="00F3399A">
            <w:rPr>
              <w:b/>
              <w:bCs/>
              <w:color w:val="FFFFFF"/>
              <w:sz w:val="24"/>
            </w:rPr>
            <w:t>The European Charities’ Committee on VAT</w:t>
          </w:r>
        </w:p>
      </w:tc>
    </w:tr>
    <w:tr w:rsidR="008F0476" w14:paraId="666D8742" w14:textId="77777777">
      <w:trPr>
        <w:trHeight w:val="894"/>
        <w:jc w:val="center"/>
      </w:trPr>
      <w:tc>
        <w:tcPr>
          <w:tcW w:w="1419" w:type="dxa"/>
          <w:shd w:val="clear" w:color="auto" w:fill="DAE4F0"/>
        </w:tcPr>
        <w:p w14:paraId="5465F85D" w14:textId="77777777" w:rsidR="008F0476" w:rsidRPr="00F3399A" w:rsidRDefault="008F0476" w:rsidP="00A63D01">
          <w:pPr>
            <w:pStyle w:val="Header"/>
            <w:rPr>
              <w:szCs w:val="22"/>
            </w:rPr>
          </w:pPr>
        </w:p>
      </w:tc>
      <w:tc>
        <w:tcPr>
          <w:tcW w:w="10488" w:type="dxa"/>
          <w:shd w:val="clear" w:color="auto" w:fill="DAE4F0"/>
        </w:tcPr>
        <w:p w14:paraId="66F5E96A" w14:textId="77777777" w:rsidR="008F0476" w:rsidRPr="00F3399A" w:rsidRDefault="008F0476" w:rsidP="00A63D01">
          <w:pPr>
            <w:pStyle w:val="Header"/>
            <w:rPr>
              <w:szCs w:val="22"/>
            </w:rPr>
          </w:pPr>
          <w:r w:rsidRPr="00F3399A">
            <w:rPr>
              <w:szCs w:val="22"/>
            </w:rPr>
            <w:t>Church House, Great Smith Street, London, SW1P 3AZ</w:t>
          </w:r>
        </w:p>
        <w:p w14:paraId="03087B5A" w14:textId="77777777" w:rsidR="008F0476" w:rsidRPr="00F3399A" w:rsidRDefault="008F0476" w:rsidP="00A63D01">
          <w:pPr>
            <w:pStyle w:val="Header"/>
            <w:rPr>
              <w:szCs w:val="22"/>
            </w:rPr>
          </w:pPr>
          <w:r w:rsidRPr="00F3399A">
            <w:rPr>
              <w:szCs w:val="22"/>
            </w:rPr>
            <w:t>Tel + 44 (0)20 7222 1265   Fax +44 (0)20 7222 1250</w:t>
          </w:r>
        </w:p>
        <w:p w14:paraId="7770D820" w14:textId="77777777" w:rsidR="008F0476" w:rsidRPr="00F3399A" w:rsidRDefault="008F0476" w:rsidP="00A63D01">
          <w:pPr>
            <w:pStyle w:val="Header"/>
            <w:rPr>
              <w:szCs w:val="22"/>
            </w:rPr>
          </w:pPr>
          <w:r w:rsidRPr="00F3399A">
            <w:rPr>
              <w:szCs w:val="22"/>
            </w:rPr>
            <w:t xml:space="preserve">www.eccvat.org   </w:t>
          </w:r>
          <w:hyperlink r:id="rId2" w:history="1">
            <w:r w:rsidRPr="00D52772">
              <w:rPr>
                <w:rStyle w:val="Hyperlink"/>
                <w:szCs w:val="22"/>
              </w:rPr>
              <w:t>info@eccvat.org</w:t>
            </w:r>
          </w:hyperlink>
          <w:r>
            <w:rPr>
              <w:szCs w:val="22"/>
            </w:rPr>
            <w:t xml:space="preserve"> </w:t>
          </w:r>
        </w:p>
        <w:p w14:paraId="3F2038D1" w14:textId="77777777" w:rsidR="008F0476" w:rsidRPr="00F3399A" w:rsidRDefault="008F0476" w:rsidP="00A63D01">
          <w:pPr>
            <w:pStyle w:val="Header"/>
            <w:rPr>
              <w:szCs w:val="22"/>
            </w:rPr>
          </w:pPr>
        </w:p>
        <w:p w14:paraId="523077C7" w14:textId="77777777" w:rsidR="008F0476" w:rsidRDefault="008F0476" w:rsidP="00A63D01">
          <w:pPr>
            <w:pStyle w:val="Header"/>
            <w:rPr>
              <w:b/>
              <w:bCs/>
              <w:szCs w:val="22"/>
            </w:rPr>
          </w:pPr>
          <w:r w:rsidRPr="00F3399A">
            <w:rPr>
              <w:b/>
              <w:bCs/>
              <w:szCs w:val="22"/>
            </w:rPr>
            <w:t>Chairman: John Hemming</w:t>
          </w:r>
        </w:p>
        <w:p w14:paraId="286FDC92" w14:textId="77777777" w:rsidR="008F0476" w:rsidRPr="00325B18" w:rsidRDefault="008F0476" w:rsidP="00A63D01">
          <w:pPr>
            <w:pStyle w:val="Header"/>
            <w:rPr>
              <w:b/>
              <w:bCs/>
              <w:szCs w:val="22"/>
            </w:rPr>
          </w:pPr>
          <w:r>
            <w:rPr>
              <w:b/>
              <w:bCs/>
              <w:szCs w:val="22"/>
            </w:rPr>
            <w:t xml:space="preserve">Transparency Register identification number: </w:t>
          </w:r>
          <w:r w:rsidRPr="00325B18">
            <w:rPr>
              <w:b/>
              <w:bCs/>
              <w:szCs w:val="22"/>
            </w:rPr>
            <w:t>72562234730-60</w:t>
          </w:r>
        </w:p>
      </w:tc>
    </w:tr>
  </w:tbl>
  <w:p w14:paraId="12EACDFD" w14:textId="77777777" w:rsidR="008F0476" w:rsidRDefault="008F0476" w:rsidP="00A63D01">
    <w:pPr>
      <w:pStyle w:val="Header"/>
    </w:pPr>
  </w:p>
  <w:p w14:paraId="54ED22AC" w14:textId="77777777" w:rsidR="008F0476" w:rsidRDefault="008F0476" w:rsidP="00A63D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10EE"/>
    <w:multiLevelType w:val="hybridMultilevel"/>
    <w:tmpl w:val="681ED4D2"/>
    <w:lvl w:ilvl="0" w:tplc="25DA71D8">
      <w:start w:val="5"/>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DB3E96"/>
    <w:multiLevelType w:val="hybridMultilevel"/>
    <w:tmpl w:val="D3BEB7AA"/>
    <w:lvl w:ilvl="0" w:tplc="1F64B870">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EEC2C9B"/>
    <w:multiLevelType w:val="multilevel"/>
    <w:tmpl w:val="0890EFA4"/>
    <w:lvl w:ilvl="0">
      <w:start w:val="3"/>
      <w:numFmt w:val="upp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17ED02A2"/>
    <w:multiLevelType w:val="hybridMultilevel"/>
    <w:tmpl w:val="60B67F2E"/>
    <w:lvl w:ilvl="0" w:tplc="341094CE">
      <w:start w:val="6"/>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2A6E27"/>
    <w:multiLevelType w:val="hybridMultilevel"/>
    <w:tmpl w:val="9120DE6E"/>
    <w:lvl w:ilvl="0" w:tplc="F2FA1596">
      <w:start w:val="9"/>
      <w:numFmt w:val="decimal"/>
      <w:lvlText w:val="%1."/>
      <w:lvlJc w:val="lef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1B873FE8"/>
    <w:multiLevelType w:val="hybridMultilevel"/>
    <w:tmpl w:val="AE44EEE4"/>
    <w:lvl w:ilvl="0" w:tplc="FCC6C2C2">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F31423"/>
    <w:multiLevelType w:val="hybridMultilevel"/>
    <w:tmpl w:val="5456DD26"/>
    <w:lvl w:ilvl="0" w:tplc="AD9608AE">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FD07C3"/>
    <w:multiLevelType w:val="hybridMultilevel"/>
    <w:tmpl w:val="E79264AA"/>
    <w:lvl w:ilvl="0" w:tplc="2F4AAF6C">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132882"/>
    <w:multiLevelType w:val="hybridMultilevel"/>
    <w:tmpl w:val="7E446B4C"/>
    <w:lvl w:ilvl="0" w:tplc="5536510A">
      <w:start w:val="4"/>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143A8D"/>
    <w:multiLevelType w:val="hybridMultilevel"/>
    <w:tmpl w:val="F0D85644"/>
    <w:lvl w:ilvl="0" w:tplc="B18CD5BC">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647C8D"/>
    <w:multiLevelType w:val="hybridMultilevel"/>
    <w:tmpl w:val="491AF65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09F42B4"/>
    <w:multiLevelType w:val="multilevel"/>
    <w:tmpl w:val="4DA62878"/>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53522B02"/>
    <w:multiLevelType w:val="hybridMultilevel"/>
    <w:tmpl w:val="8326C09C"/>
    <w:lvl w:ilvl="0" w:tplc="3B48B8C2">
      <w:start w:val="7"/>
      <w:numFmt w:val="decimal"/>
      <w:lvlText w:val="%1."/>
      <w:lvlJc w:val="lef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3" w15:restartNumberingAfterBreak="0">
    <w:nsid w:val="568C793C"/>
    <w:multiLevelType w:val="hybridMultilevel"/>
    <w:tmpl w:val="4CE4256A"/>
    <w:lvl w:ilvl="0" w:tplc="18CA3F28">
      <w:start w:val="8"/>
      <w:numFmt w:val="decimal"/>
      <w:lvlText w:val="%1."/>
      <w:lvlJc w:val="lef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4" w15:restartNumberingAfterBreak="0">
    <w:nsid w:val="5B396741"/>
    <w:multiLevelType w:val="hybridMultilevel"/>
    <w:tmpl w:val="67A2263A"/>
    <w:lvl w:ilvl="0" w:tplc="BECC1D4C">
      <w:start w:val="11"/>
      <w:numFmt w:val="decimal"/>
      <w:lvlText w:val="%1."/>
      <w:lvlJc w:val="left"/>
      <w:pPr>
        <w:ind w:left="36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5" w15:restartNumberingAfterBreak="0">
    <w:nsid w:val="5D7650FC"/>
    <w:multiLevelType w:val="hybridMultilevel"/>
    <w:tmpl w:val="185CD3C4"/>
    <w:lvl w:ilvl="0" w:tplc="B7F22D14">
      <w:start w:val="4"/>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C4D7192"/>
    <w:multiLevelType w:val="hybridMultilevel"/>
    <w:tmpl w:val="795AF056"/>
    <w:lvl w:ilvl="0" w:tplc="0598DFBE">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DBE29E0"/>
    <w:multiLevelType w:val="hybridMultilevel"/>
    <w:tmpl w:val="4C54B98E"/>
    <w:lvl w:ilvl="0" w:tplc="2BA0EBD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
  </w:num>
  <w:num w:numId="3">
    <w:abstractNumId w:val="2"/>
  </w:num>
  <w:num w:numId="4">
    <w:abstractNumId w:val="8"/>
  </w:num>
  <w:num w:numId="5">
    <w:abstractNumId w:val="17"/>
  </w:num>
  <w:num w:numId="6">
    <w:abstractNumId w:val="0"/>
  </w:num>
  <w:num w:numId="7">
    <w:abstractNumId w:val="11"/>
  </w:num>
  <w:num w:numId="8">
    <w:abstractNumId w:val="15"/>
  </w:num>
  <w:num w:numId="9">
    <w:abstractNumId w:val="12"/>
  </w:num>
  <w:num w:numId="10">
    <w:abstractNumId w:val="13"/>
  </w:num>
  <w:num w:numId="11">
    <w:abstractNumId w:val="4"/>
  </w:num>
  <w:num w:numId="12">
    <w:abstractNumId w:val="14"/>
  </w:num>
  <w:num w:numId="13">
    <w:abstractNumId w:val="3"/>
  </w:num>
  <w:num w:numId="14">
    <w:abstractNumId w:val="5"/>
  </w:num>
  <w:num w:numId="15">
    <w:abstractNumId w:val="9"/>
  </w:num>
  <w:num w:numId="16">
    <w:abstractNumId w:val="6"/>
  </w:num>
  <w:num w:numId="17">
    <w:abstractNumId w:val="7"/>
  </w:num>
  <w:num w:numId="18">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7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E8D"/>
    <w:rsid w:val="00047F97"/>
    <w:rsid w:val="00055135"/>
    <w:rsid w:val="001027D2"/>
    <w:rsid w:val="00107859"/>
    <w:rsid w:val="00155E8D"/>
    <w:rsid w:val="0017083E"/>
    <w:rsid w:val="001C1C75"/>
    <w:rsid w:val="002151B7"/>
    <w:rsid w:val="002E5C4A"/>
    <w:rsid w:val="002F5316"/>
    <w:rsid w:val="00334DB1"/>
    <w:rsid w:val="00342C96"/>
    <w:rsid w:val="00354B31"/>
    <w:rsid w:val="0035709A"/>
    <w:rsid w:val="00374792"/>
    <w:rsid w:val="00381F92"/>
    <w:rsid w:val="003B5FDD"/>
    <w:rsid w:val="00417AE1"/>
    <w:rsid w:val="00433E6E"/>
    <w:rsid w:val="00480384"/>
    <w:rsid w:val="004A1FE3"/>
    <w:rsid w:val="004A6A25"/>
    <w:rsid w:val="004B7D0E"/>
    <w:rsid w:val="004F7302"/>
    <w:rsid w:val="00574571"/>
    <w:rsid w:val="005B11E1"/>
    <w:rsid w:val="005B1866"/>
    <w:rsid w:val="005C0735"/>
    <w:rsid w:val="00615203"/>
    <w:rsid w:val="00651524"/>
    <w:rsid w:val="006C5475"/>
    <w:rsid w:val="006D70A5"/>
    <w:rsid w:val="006F3CB1"/>
    <w:rsid w:val="007619FF"/>
    <w:rsid w:val="00762A99"/>
    <w:rsid w:val="00773301"/>
    <w:rsid w:val="007F4A3C"/>
    <w:rsid w:val="008022E3"/>
    <w:rsid w:val="0085339A"/>
    <w:rsid w:val="008541F4"/>
    <w:rsid w:val="008F0476"/>
    <w:rsid w:val="008F4587"/>
    <w:rsid w:val="009711A7"/>
    <w:rsid w:val="009C3991"/>
    <w:rsid w:val="009C616A"/>
    <w:rsid w:val="009F422A"/>
    <w:rsid w:val="00A11208"/>
    <w:rsid w:val="00A5226F"/>
    <w:rsid w:val="00A63D01"/>
    <w:rsid w:val="00A944F9"/>
    <w:rsid w:val="00AB0936"/>
    <w:rsid w:val="00AE2CFE"/>
    <w:rsid w:val="00AE3DA3"/>
    <w:rsid w:val="00AF0910"/>
    <w:rsid w:val="00AF3DF5"/>
    <w:rsid w:val="00AF4A11"/>
    <w:rsid w:val="00B515B0"/>
    <w:rsid w:val="00B607B5"/>
    <w:rsid w:val="00BA038D"/>
    <w:rsid w:val="00BE333C"/>
    <w:rsid w:val="00C17C65"/>
    <w:rsid w:val="00C23B50"/>
    <w:rsid w:val="00C6033E"/>
    <w:rsid w:val="00C641A6"/>
    <w:rsid w:val="00C8507B"/>
    <w:rsid w:val="00C90A58"/>
    <w:rsid w:val="00C9625C"/>
    <w:rsid w:val="00CC7B95"/>
    <w:rsid w:val="00CF1AC6"/>
    <w:rsid w:val="00D14026"/>
    <w:rsid w:val="00D57EA1"/>
    <w:rsid w:val="00D857F2"/>
    <w:rsid w:val="00D91966"/>
    <w:rsid w:val="00DA7D9D"/>
    <w:rsid w:val="00E04C4E"/>
    <w:rsid w:val="00E27F8F"/>
    <w:rsid w:val="00E349F9"/>
    <w:rsid w:val="00E60219"/>
    <w:rsid w:val="00E618B7"/>
    <w:rsid w:val="00E662BC"/>
    <w:rsid w:val="00E66A3D"/>
    <w:rsid w:val="00E82A86"/>
    <w:rsid w:val="00EE6B78"/>
    <w:rsid w:val="00F21D1C"/>
    <w:rsid w:val="00F54B85"/>
    <w:rsid w:val="00FB5C66"/>
    <w:rsid w:val="00FD7001"/>
    <w:rsid w:val="00FE26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style="mso-position-vertical-relative:line" fill="f" fillcolor="white" stroke="f">
      <v:fill color="white" on="f"/>
      <v:stroke on="f"/>
    </o:shapedefaults>
    <o:shapelayout v:ext="edit">
      <o:idmap v:ext="edit" data="1"/>
    </o:shapelayout>
  </w:shapeDefaults>
  <w:decimalSymbol w:val="."/>
  <w:listSeparator w:val=","/>
  <w14:docId w14:val="4643E7CF"/>
  <w15:chartTrackingRefBased/>
  <w15:docId w15:val="{6286262A-6F57-4B10-AFDF-2CE9815E1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3E3D17"/>
    <w:pPr>
      <w:jc w:val="both"/>
    </w:pPr>
    <w:rPr>
      <w:rFonts w:ascii="Arial" w:hAnsi="Arial"/>
      <w:sz w:val="22"/>
      <w:szCs w:val="24"/>
    </w:rPr>
  </w:style>
  <w:style w:type="paragraph" w:styleId="Heading1">
    <w:name w:val="heading 1"/>
    <w:basedOn w:val="Normal"/>
    <w:next w:val="Normal"/>
    <w:qFormat/>
    <w:rsid w:val="003E3D17"/>
    <w:pPr>
      <w:keepNext/>
      <w:spacing w:after="100" w:afterAutospacing="1"/>
      <w:jc w:val="left"/>
      <w:outlineLvl w:val="0"/>
    </w:pPr>
    <w:rPr>
      <w:rFonts w:cs="Arial"/>
      <w:b/>
      <w:bCs/>
      <w:sz w:val="36"/>
      <w:szCs w:val="36"/>
    </w:rPr>
  </w:style>
  <w:style w:type="paragraph" w:styleId="Heading2">
    <w:name w:val="heading 2"/>
    <w:basedOn w:val="Normal"/>
    <w:next w:val="Normal"/>
    <w:qFormat/>
    <w:rsid w:val="003E3D17"/>
    <w:pPr>
      <w:keepNext/>
      <w:spacing w:before="100" w:beforeAutospacing="1" w:after="100" w:afterAutospacing="1"/>
      <w:jc w:val="left"/>
      <w:outlineLvl w:val="1"/>
    </w:pPr>
    <w:rPr>
      <w:rFonts w:cs="Arial"/>
      <w:b/>
      <w:bCs/>
      <w:iCs/>
      <w:szCs w:val="28"/>
    </w:rPr>
  </w:style>
  <w:style w:type="paragraph" w:styleId="Heading3">
    <w:name w:val="heading 3"/>
    <w:basedOn w:val="Normal"/>
    <w:next w:val="Normal"/>
    <w:qFormat/>
    <w:rsid w:val="003E3D17"/>
    <w:pPr>
      <w:keepNext/>
      <w:spacing w:before="100" w:beforeAutospacing="1" w:after="100" w:afterAutospacing="1"/>
      <w:jc w:val="left"/>
      <w:outlineLvl w:val="2"/>
    </w:pPr>
    <w:rPr>
      <w:rFonts w:cs="Arial"/>
      <w:bCs/>
      <w:i/>
      <w:szCs w:val="26"/>
    </w:rPr>
  </w:style>
  <w:style w:type="paragraph" w:styleId="Heading4">
    <w:name w:val="heading 4"/>
    <w:basedOn w:val="Normal"/>
    <w:next w:val="Normal"/>
    <w:qFormat/>
    <w:rsid w:val="003E3D17"/>
    <w:pPr>
      <w:keepNext/>
      <w:spacing w:before="100" w:beforeAutospacing="1" w:after="100" w:afterAutospacing="1"/>
      <w:jc w:val="left"/>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F7ACE"/>
    <w:rPr>
      <w:color w:val="415A8E"/>
      <w:sz w:val="16"/>
    </w:rPr>
  </w:style>
  <w:style w:type="paragraph" w:styleId="Footer">
    <w:name w:val="footer"/>
    <w:basedOn w:val="Normal"/>
    <w:rsid w:val="003E3D17"/>
  </w:style>
  <w:style w:type="character" w:styleId="PageNumber">
    <w:name w:val="page number"/>
    <w:rsid w:val="00155E8D"/>
    <w:rPr>
      <w:sz w:val="16"/>
    </w:rPr>
  </w:style>
  <w:style w:type="table" w:styleId="TableGrid">
    <w:name w:val="Table Grid"/>
    <w:basedOn w:val="TableNormal"/>
    <w:rsid w:val="003E3D17"/>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style>
  <w:style w:type="character" w:styleId="Hyperlink">
    <w:name w:val="Hyperlink"/>
    <w:rsid w:val="002F7ACE"/>
    <w:rPr>
      <w:color w:val="0000FF"/>
      <w:u w:val="single"/>
    </w:rPr>
  </w:style>
  <w:style w:type="paragraph" w:styleId="ListParagraph">
    <w:name w:val="List Paragraph"/>
    <w:basedOn w:val="Normal"/>
    <w:uiPriority w:val="34"/>
    <w:qFormat/>
    <w:rsid w:val="00801C85"/>
    <w:pPr>
      <w:ind w:left="720"/>
    </w:pPr>
  </w:style>
  <w:style w:type="paragraph" w:styleId="BalloonText">
    <w:name w:val="Balloon Text"/>
    <w:basedOn w:val="Normal"/>
    <w:link w:val="BalloonTextChar"/>
    <w:rsid w:val="00F2748E"/>
    <w:rPr>
      <w:rFonts w:ascii="Lucida Grande" w:hAnsi="Lucida Grande"/>
      <w:sz w:val="18"/>
      <w:szCs w:val="18"/>
    </w:rPr>
  </w:style>
  <w:style w:type="character" w:customStyle="1" w:styleId="BalloonTextChar">
    <w:name w:val="Balloon Text Char"/>
    <w:link w:val="BalloonText"/>
    <w:rsid w:val="00F2748E"/>
    <w:rPr>
      <w:rFonts w:ascii="Lucida Grande" w:hAnsi="Lucida Grande"/>
      <w:sz w:val="18"/>
      <w:szCs w:val="18"/>
      <w:lang w:eastAsia="en-GB"/>
    </w:rPr>
  </w:style>
  <w:style w:type="character" w:styleId="FollowedHyperlink">
    <w:name w:val="FollowedHyperlink"/>
    <w:rsid w:val="00BA038D"/>
    <w:rPr>
      <w:color w:val="800080"/>
      <w:u w:val="single"/>
    </w:rPr>
  </w:style>
  <w:style w:type="character" w:styleId="Mention">
    <w:name w:val="Mention"/>
    <w:uiPriority w:val="99"/>
    <w:semiHidden/>
    <w:unhideWhenUsed/>
    <w:rsid w:val="00433E6E"/>
    <w:rPr>
      <w:color w:val="2B579A"/>
      <w:shd w:val="clear" w:color="auto" w:fill="E6E6E6"/>
    </w:rPr>
  </w:style>
  <w:style w:type="character" w:styleId="CommentReference">
    <w:name w:val="annotation reference"/>
    <w:basedOn w:val="DefaultParagraphFont"/>
    <w:rsid w:val="00480384"/>
    <w:rPr>
      <w:sz w:val="16"/>
      <w:szCs w:val="16"/>
    </w:rPr>
  </w:style>
  <w:style w:type="paragraph" w:styleId="CommentText">
    <w:name w:val="annotation text"/>
    <w:basedOn w:val="Normal"/>
    <w:link w:val="CommentTextChar"/>
    <w:rsid w:val="00480384"/>
    <w:rPr>
      <w:sz w:val="20"/>
      <w:szCs w:val="20"/>
    </w:rPr>
  </w:style>
  <w:style w:type="character" w:customStyle="1" w:styleId="CommentTextChar">
    <w:name w:val="Comment Text Char"/>
    <w:basedOn w:val="DefaultParagraphFont"/>
    <w:link w:val="CommentText"/>
    <w:rsid w:val="00480384"/>
    <w:rPr>
      <w:rFonts w:ascii="Arial" w:hAnsi="Arial"/>
    </w:rPr>
  </w:style>
  <w:style w:type="paragraph" w:styleId="CommentSubject">
    <w:name w:val="annotation subject"/>
    <w:basedOn w:val="CommentText"/>
    <w:next w:val="CommentText"/>
    <w:link w:val="CommentSubjectChar"/>
    <w:rsid w:val="00480384"/>
    <w:rPr>
      <w:b/>
      <w:bCs/>
    </w:rPr>
  </w:style>
  <w:style w:type="character" w:customStyle="1" w:styleId="CommentSubjectChar">
    <w:name w:val="Comment Subject Char"/>
    <w:basedOn w:val="CommentTextChar"/>
    <w:link w:val="CommentSubject"/>
    <w:rsid w:val="00480384"/>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021913">
      <w:bodyDiv w:val="1"/>
      <w:marLeft w:val="0"/>
      <w:marRight w:val="0"/>
      <w:marTop w:val="0"/>
      <w:marBottom w:val="0"/>
      <w:divBdr>
        <w:top w:val="none" w:sz="0" w:space="0" w:color="auto"/>
        <w:left w:val="none" w:sz="0" w:space="0" w:color="auto"/>
        <w:bottom w:val="none" w:sz="0" w:space="0" w:color="auto"/>
        <w:right w:val="none" w:sz="0" w:space="0" w:color="auto"/>
      </w:divBdr>
    </w:div>
    <w:div w:id="1810201961">
      <w:bodyDiv w:val="1"/>
      <w:marLeft w:val="0"/>
      <w:marRight w:val="0"/>
      <w:marTop w:val="0"/>
      <w:marBottom w:val="0"/>
      <w:divBdr>
        <w:top w:val="none" w:sz="0" w:space="0" w:color="auto"/>
        <w:left w:val="none" w:sz="0" w:space="0" w:color="auto"/>
        <w:bottom w:val="none" w:sz="0" w:space="0" w:color="auto"/>
        <w:right w:val="none" w:sz="0" w:space="0" w:color="auto"/>
      </w:divBdr>
      <w:divsChild>
        <w:div w:id="286400810">
          <w:marLeft w:val="0"/>
          <w:marRight w:val="0"/>
          <w:marTop w:val="0"/>
          <w:marBottom w:val="0"/>
          <w:divBdr>
            <w:top w:val="none" w:sz="0" w:space="0" w:color="auto"/>
            <w:left w:val="none" w:sz="0" w:space="0" w:color="auto"/>
            <w:bottom w:val="none" w:sz="0" w:space="0" w:color="auto"/>
            <w:right w:val="none" w:sz="0" w:space="0" w:color="auto"/>
          </w:divBdr>
        </w:div>
        <w:div w:id="432168041">
          <w:marLeft w:val="0"/>
          <w:marRight w:val="0"/>
          <w:marTop w:val="0"/>
          <w:marBottom w:val="0"/>
          <w:divBdr>
            <w:top w:val="none" w:sz="0" w:space="0" w:color="auto"/>
            <w:left w:val="none" w:sz="0" w:space="0" w:color="auto"/>
            <w:bottom w:val="none" w:sz="0" w:space="0" w:color="auto"/>
            <w:right w:val="none" w:sz="0" w:space="0" w:color="auto"/>
          </w:divBdr>
        </w:div>
        <w:div w:id="1293514234">
          <w:marLeft w:val="0"/>
          <w:marRight w:val="0"/>
          <w:marTop w:val="0"/>
          <w:marBottom w:val="0"/>
          <w:divBdr>
            <w:top w:val="none" w:sz="0" w:space="0" w:color="auto"/>
            <w:left w:val="none" w:sz="0" w:space="0" w:color="auto"/>
            <w:bottom w:val="none" w:sz="0" w:space="0" w:color="auto"/>
            <w:right w:val="none" w:sz="0" w:space="0" w:color="auto"/>
          </w:divBdr>
        </w:div>
        <w:div w:id="1380594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hyperlink" Target="http://www.dafne-online.eu/Pages/default.aspx" TargetMode="External"/><Relationship Id="rId26" Type="http://schemas.openxmlformats.org/officeDocument/2006/relationships/hyperlink" Target="http://www.eurocom.org/index.htm" TargetMode="External"/><Relationship Id="rId3" Type="http://schemas.openxmlformats.org/officeDocument/2006/relationships/settings" Target="settings.xml"/><Relationship Id="rId21" Type="http://schemas.openxmlformats.org/officeDocument/2006/relationships/image" Target="cid:image003.jpg@01CF5F2A.0E203290" TargetMode="External"/><Relationship Id="rId7" Type="http://schemas.openxmlformats.org/officeDocument/2006/relationships/image" Target="media/image1.png"/><Relationship Id="rId12" Type="http://schemas.openxmlformats.org/officeDocument/2006/relationships/hyperlink" Target="http://www.efc.be/Pages/default.aspx" TargetMode="External"/><Relationship Id="rId17" Type="http://schemas.openxmlformats.org/officeDocument/2006/relationships/image" Target="media/image7.png"/><Relationship Id="rId25" Type="http://schemas.openxmlformats.org/officeDocument/2006/relationships/hyperlink" Target="http://www.efa-net.e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ctr.ie/" TargetMode="External"/><Relationship Id="rId20" Type="http://schemas.openxmlformats.org/officeDocument/2006/relationships/image" Target="media/image8.jpe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http://profile.ak.fbcdn.net/hprofile-ak-snc4/161972_133200100080309_7566104_n.jpg"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9.jpeg"/><Relationship Id="rId28" Type="http://schemas.openxmlformats.org/officeDocument/2006/relationships/hyperlink" Target="http://www.eurocom.org/english-site/index_main.htm" TargetMode="External"/><Relationship Id="rId10" Type="http://schemas.openxmlformats.org/officeDocument/2006/relationships/hyperlink" Target="http://www.isobro.dk/" TargetMode="External"/><Relationship Id="rId19" Type="http://schemas.openxmlformats.org/officeDocument/2006/relationships/hyperlink" Target="http://www.fundaciones.org/es/home"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charitytaxgroup.org.uk" TargetMode="External"/><Relationship Id="rId22" Type="http://schemas.openxmlformats.org/officeDocument/2006/relationships/hyperlink" Target="http://www.fundaciones.org/es/home" TargetMode="External"/><Relationship Id="rId27" Type="http://schemas.openxmlformats.org/officeDocument/2006/relationships/image" Target="media/image10.jpeg"/><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mailto:info@eccvat.org" TargetMode="External"/><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2821</Words>
  <Characters>16081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Blank Word document</vt:lpstr>
    </vt:vector>
  </TitlesOfParts>
  <Company>CLC</Company>
  <LinksUpToDate>false</LinksUpToDate>
  <CharactersWithSpaces>18865</CharactersWithSpaces>
  <SharedDoc>false</SharedDoc>
  <HLinks>
    <vt:vector size="96" baseType="variant">
      <vt:variant>
        <vt:i4>5177389</vt:i4>
      </vt:variant>
      <vt:variant>
        <vt:i4>51</vt:i4>
      </vt:variant>
      <vt:variant>
        <vt:i4>0</vt:i4>
      </vt:variant>
      <vt:variant>
        <vt:i4>5</vt:i4>
      </vt:variant>
      <vt:variant>
        <vt:lpwstr>http://www.eurocom.org/english-site/index_main.htm</vt:lpwstr>
      </vt:variant>
      <vt:variant>
        <vt:lpwstr/>
      </vt:variant>
      <vt:variant>
        <vt:i4>4849671</vt:i4>
      </vt:variant>
      <vt:variant>
        <vt:i4>45</vt:i4>
      </vt:variant>
      <vt:variant>
        <vt:i4>0</vt:i4>
      </vt:variant>
      <vt:variant>
        <vt:i4>5</vt:i4>
      </vt:variant>
      <vt:variant>
        <vt:lpwstr>http://www.eurocom.org/index.htm</vt:lpwstr>
      </vt:variant>
      <vt:variant>
        <vt:lpwstr/>
      </vt:variant>
      <vt:variant>
        <vt:i4>8323109</vt:i4>
      </vt:variant>
      <vt:variant>
        <vt:i4>42</vt:i4>
      </vt:variant>
      <vt:variant>
        <vt:i4>0</vt:i4>
      </vt:variant>
      <vt:variant>
        <vt:i4>5</vt:i4>
      </vt:variant>
      <vt:variant>
        <vt:lpwstr>http://www.efa-net.eu/</vt:lpwstr>
      </vt:variant>
      <vt:variant>
        <vt:lpwstr/>
      </vt:variant>
      <vt:variant>
        <vt:i4>8257581</vt:i4>
      </vt:variant>
      <vt:variant>
        <vt:i4>39</vt:i4>
      </vt:variant>
      <vt:variant>
        <vt:i4>0</vt:i4>
      </vt:variant>
      <vt:variant>
        <vt:i4>5</vt:i4>
      </vt:variant>
      <vt:variant>
        <vt:lpwstr>http://www.fundaciones.org/es/home</vt:lpwstr>
      </vt:variant>
      <vt:variant>
        <vt:lpwstr/>
      </vt:variant>
      <vt:variant>
        <vt:i4>1900639</vt:i4>
      </vt:variant>
      <vt:variant>
        <vt:i4>36</vt:i4>
      </vt:variant>
      <vt:variant>
        <vt:i4>0</vt:i4>
      </vt:variant>
      <vt:variant>
        <vt:i4>5</vt:i4>
      </vt:variant>
      <vt:variant>
        <vt:lpwstr>http://www.fundaciononce.es/EN/Pages/Portada.aspx</vt:lpwstr>
      </vt:variant>
      <vt:variant>
        <vt:lpwstr/>
      </vt:variant>
      <vt:variant>
        <vt:i4>786500</vt:i4>
      </vt:variant>
      <vt:variant>
        <vt:i4>30</vt:i4>
      </vt:variant>
      <vt:variant>
        <vt:i4>0</vt:i4>
      </vt:variant>
      <vt:variant>
        <vt:i4>5</vt:i4>
      </vt:variant>
      <vt:variant>
        <vt:lpwstr>http://www.dafne-online.eu/Pages/default.aspx</vt:lpwstr>
      </vt:variant>
      <vt:variant>
        <vt:lpwstr/>
      </vt:variant>
      <vt:variant>
        <vt:i4>8192040</vt:i4>
      </vt:variant>
      <vt:variant>
        <vt:i4>24</vt:i4>
      </vt:variant>
      <vt:variant>
        <vt:i4>0</vt:i4>
      </vt:variant>
      <vt:variant>
        <vt:i4>5</vt:i4>
      </vt:variant>
      <vt:variant>
        <vt:lpwstr>http://www.ictr.ie/</vt:lpwstr>
      </vt:variant>
      <vt:variant>
        <vt:lpwstr/>
      </vt:variant>
      <vt:variant>
        <vt:i4>8192040</vt:i4>
      </vt:variant>
      <vt:variant>
        <vt:i4>18</vt:i4>
      </vt:variant>
      <vt:variant>
        <vt:i4>0</vt:i4>
      </vt:variant>
      <vt:variant>
        <vt:i4>5</vt:i4>
      </vt:variant>
      <vt:variant>
        <vt:lpwstr>http://www.ictr.ie/</vt:lpwstr>
      </vt:variant>
      <vt:variant>
        <vt:lpwstr/>
      </vt:variant>
      <vt:variant>
        <vt:i4>7471148</vt:i4>
      </vt:variant>
      <vt:variant>
        <vt:i4>15</vt:i4>
      </vt:variant>
      <vt:variant>
        <vt:i4>0</vt:i4>
      </vt:variant>
      <vt:variant>
        <vt:i4>5</vt:i4>
      </vt:variant>
      <vt:variant>
        <vt:lpwstr>http://www.charitytaxgroup.org.uk/</vt:lpwstr>
      </vt:variant>
      <vt:variant>
        <vt:lpwstr/>
      </vt:variant>
      <vt:variant>
        <vt:i4>393227</vt:i4>
      </vt:variant>
      <vt:variant>
        <vt:i4>12</vt:i4>
      </vt:variant>
      <vt:variant>
        <vt:i4>0</vt:i4>
      </vt:variant>
      <vt:variant>
        <vt:i4>5</vt:i4>
      </vt:variant>
      <vt:variant>
        <vt:lpwstr>http://www.efc.be/Pages/default.aspx</vt:lpwstr>
      </vt:variant>
      <vt:variant>
        <vt:lpwstr/>
      </vt:variant>
      <vt:variant>
        <vt:i4>1704010</vt:i4>
      </vt:variant>
      <vt:variant>
        <vt:i4>6</vt:i4>
      </vt:variant>
      <vt:variant>
        <vt:i4>0</vt:i4>
      </vt:variant>
      <vt:variant>
        <vt:i4>5</vt:i4>
      </vt:variant>
      <vt:variant>
        <vt:lpwstr>http://www.isobro.dk/</vt:lpwstr>
      </vt:variant>
      <vt:variant>
        <vt:lpwstr/>
      </vt:variant>
      <vt:variant>
        <vt:i4>2949155</vt:i4>
      </vt:variant>
      <vt:variant>
        <vt:i4>0</vt:i4>
      </vt:variant>
      <vt:variant>
        <vt:i4>0</vt:i4>
      </vt:variant>
      <vt:variant>
        <vt:i4>5</vt:i4>
      </vt:variant>
      <vt:variant>
        <vt:lpwstr>http://eur-lex.europa.eu/legal-content/EN/TXT/?uri=celex:32006L0112</vt:lpwstr>
      </vt:variant>
      <vt:variant>
        <vt:lpwstr/>
      </vt:variant>
      <vt:variant>
        <vt:i4>4456560</vt:i4>
      </vt:variant>
      <vt:variant>
        <vt:i4>5</vt:i4>
      </vt:variant>
      <vt:variant>
        <vt:i4>0</vt:i4>
      </vt:variant>
      <vt:variant>
        <vt:i4>5</vt:i4>
      </vt:variant>
      <vt:variant>
        <vt:lpwstr>mailto:info@eccvat.org</vt:lpwstr>
      </vt:variant>
      <vt:variant>
        <vt:lpwstr/>
      </vt:variant>
      <vt:variant>
        <vt:i4>2359312</vt:i4>
      </vt:variant>
      <vt:variant>
        <vt:i4>-1</vt:i4>
      </vt:variant>
      <vt:variant>
        <vt:i4>1026</vt:i4>
      </vt:variant>
      <vt:variant>
        <vt:i4>1</vt:i4>
      </vt:variant>
      <vt:variant>
        <vt:lpwstr>http://profile.ak.fbcdn.net/hprofile-ak-snc4/161972_133200100080309_7566104_n.jpg</vt:lpwstr>
      </vt:variant>
      <vt:variant>
        <vt:lpwstr/>
      </vt:variant>
      <vt:variant>
        <vt:i4>8257581</vt:i4>
      </vt:variant>
      <vt:variant>
        <vt:i4>-1</vt:i4>
      </vt:variant>
      <vt:variant>
        <vt:i4>1027</vt:i4>
      </vt:variant>
      <vt:variant>
        <vt:i4>4</vt:i4>
      </vt:variant>
      <vt:variant>
        <vt:lpwstr>http://www.fundaciones.org/es/home</vt:lpwstr>
      </vt:variant>
      <vt:variant>
        <vt:lpwstr/>
      </vt:variant>
      <vt:variant>
        <vt:i4>7995420</vt:i4>
      </vt:variant>
      <vt:variant>
        <vt:i4>-1</vt:i4>
      </vt:variant>
      <vt:variant>
        <vt:i4>1027</vt:i4>
      </vt:variant>
      <vt:variant>
        <vt:i4>1</vt:i4>
      </vt:variant>
      <vt:variant>
        <vt:lpwstr>cid:image003.jpg@01CF5F2A.0E203290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Word document</dc:title>
  <dc:subject/>
  <dc:creator>Rob Hailey</dc:creator>
  <cp:keywords/>
  <cp:lastModifiedBy>Chris Lane</cp:lastModifiedBy>
  <cp:revision>2</cp:revision>
  <cp:lastPrinted>2008-07-02T14:19:00Z</cp:lastPrinted>
  <dcterms:created xsi:type="dcterms:W3CDTF">2017-03-20T18:20:00Z</dcterms:created>
  <dcterms:modified xsi:type="dcterms:W3CDTF">2017-03-20T18:20:00Z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0">
    <vt:lpwstr>Other</vt:lpwstr>
  </property>
</Properties>
</file>