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AF20D" w14:textId="392B254B" w:rsidR="00CB6012" w:rsidRDefault="00CB6012" w:rsidP="00CB6012">
      <w:pPr>
        <w:pStyle w:val="NoSpacing"/>
        <w:rPr>
          <w:b/>
          <w:bCs/>
          <w:sz w:val="28"/>
          <w:szCs w:val="28"/>
        </w:rPr>
      </w:pPr>
      <w:r w:rsidRPr="00CB6012">
        <w:rPr>
          <w:b/>
          <w:bCs/>
          <w:sz w:val="28"/>
          <w:szCs w:val="28"/>
        </w:rPr>
        <w:t>Making Tax Digital for VAT - Digital links session with HMRC (14 January and 25 February 2021)</w:t>
      </w:r>
    </w:p>
    <w:p w14:paraId="4742920D" w14:textId="77777777" w:rsidR="00CB6012" w:rsidRPr="00CB6012" w:rsidRDefault="00CB6012" w:rsidP="00CB6012">
      <w:pPr>
        <w:pStyle w:val="NoSpacing"/>
        <w:rPr>
          <w:b/>
          <w:bCs/>
          <w:sz w:val="28"/>
          <w:szCs w:val="28"/>
        </w:rPr>
      </w:pPr>
    </w:p>
    <w:p w14:paraId="07657E54" w14:textId="5DC9ACAD" w:rsidR="00CB6012" w:rsidRDefault="00CB6012" w:rsidP="00CB6012">
      <w:pPr>
        <w:pStyle w:val="NoSpacing"/>
        <w:jc w:val="both"/>
      </w:pPr>
      <w:r w:rsidRPr="00CB6012">
        <w:t>On 14 January 2021, the Charity Tax Group held a session with HMRC on Making Tax Digital for VAT, with a particular focus on the “digital links” requirements, which will become mandatory from April 2021.</w:t>
      </w:r>
    </w:p>
    <w:p w14:paraId="1CF25678" w14:textId="77777777" w:rsidR="00CB6012" w:rsidRPr="00CB6012" w:rsidRDefault="00CB6012" w:rsidP="00CB6012">
      <w:pPr>
        <w:pStyle w:val="NoSpacing"/>
        <w:jc w:val="both"/>
      </w:pPr>
    </w:p>
    <w:p w14:paraId="5BAC0E7E" w14:textId="52394A71" w:rsidR="00CB6012" w:rsidRPr="00CB6012" w:rsidRDefault="00CB6012" w:rsidP="00CB6012">
      <w:pPr>
        <w:pStyle w:val="NoSpacing"/>
        <w:jc w:val="both"/>
      </w:pPr>
      <w:r w:rsidRPr="00CB6012">
        <w:t>The slides from the meeting are available </w:t>
      </w:r>
      <w:hyperlink r:id="rId10" w:history="1">
        <w:r w:rsidRPr="00CB6012">
          <w:rPr>
            <w:rStyle w:val="Hyperlink"/>
          </w:rPr>
          <w:t>here</w:t>
        </w:r>
      </w:hyperlink>
      <w:r w:rsidRPr="00CB6012">
        <w:t> and a recording of the session can be viewed </w:t>
      </w:r>
      <w:hyperlink r:id="rId11" w:history="1">
        <w:r w:rsidRPr="00CB6012">
          <w:rPr>
            <w:rStyle w:val="Hyperlink"/>
          </w:rPr>
          <w:t>here</w:t>
        </w:r>
      </w:hyperlink>
      <w:r w:rsidRPr="00CB6012">
        <w:t> (</w:t>
      </w:r>
      <w:proofErr w:type="spellStart"/>
      <w:r w:rsidRPr="00CB6012">
        <w:t>approx</w:t>
      </w:r>
      <w:proofErr w:type="spellEnd"/>
      <w:r w:rsidRPr="00CB6012">
        <w:t xml:space="preserve"> 1 hour). The VAT Notice (on Making Tax Digital) referred to by </w:t>
      </w:r>
      <w:r>
        <w:t>speakers</w:t>
      </w:r>
      <w:r w:rsidRPr="00CB6012">
        <w:t xml:space="preserve"> can be accessed </w:t>
      </w:r>
      <w:hyperlink r:id="rId12" w:history="1">
        <w:r w:rsidRPr="00CB6012">
          <w:rPr>
            <w:rStyle w:val="Hyperlink"/>
          </w:rPr>
          <w:t>here</w:t>
        </w:r>
      </w:hyperlink>
      <w:r w:rsidRPr="00CB6012">
        <w:t>. All charities subject to MTD reporting requirements should read this guidance.</w:t>
      </w:r>
    </w:p>
    <w:p w14:paraId="55340C32" w14:textId="77777777" w:rsidR="00CB6012" w:rsidRDefault="00CB6012" w:rsidP="00CB6012">
      <w:pPr>
        <w:pStyle w:val="NoSpacing"/>
        <w:jc w:val="both"/>
      </w:pPr>
    </w:p>
    <w:p w14:paraId="72B4D787" w14:textId="17EC0978" w:rsidR="00CB6012" w:rsidRPr="00CB6012" w:rsidRDefault="00CB6012" w:rsidP="00CB6012">
      <w:pPr>
        <w:pStyle w:val="NoSpacing"/>
        <w:jc w:val="both"/>
      </w:pPr>
      <w:r w:rsidRPr="00CB6012">
        <w:t xml:space="preserve">A follow-up session on Thursday 25 February 2021 (slides available </w:t>
      </w:r>
      <w:hyperlink r:id="rId13" w:history="1">
        <w:r w:rsidRPr="00CB6012">
          <w:rPr>
            <w:rStyle w:val="Hyperlink"/>
          </w:rPr>
          <w:t>here</w:t>
        </w:r>
      </w:hyperlink>
      <w:r w:rsidRPr="00CB6012">
        <w:t xml:space="preserve"> and a recording of the session available </w:t>
      </w:r>
      <w:hyperlink r:id="rId14" w:history="1">
        <w:r w:rsidRPr="00CB6012">
          <w:rPr>
            <w:rStyle w:val="Hyperlink"/>
          </w:rPr>
          <w:t>here</w:t>
        </w:r>
      </w:hyperlink>
      <w:r w:rsidRPr="00CB6012">
        <w:t>) provided an opportunity for charities to get their questions about digital links answered directly by HMRC. Questions were grouped into themes including:</w:t>
      </w:r>
    </w:p>
    <w:p w14:paraId="1EBD5B7E" w14:textId="77777777" w:rsidR="00CB6012" w:rsidRPr="00CB6012" w:rsidRDefault="00CB6012" w:rsidP="00CB6012">
      <w:pPr>
        <w:pStyle w:val="NoSpacing"/>
        <w:jc w:val="both"/>
      </w:pPr>
      <w:r w:rsidRPr="00CB6012">
        <w:t>the nature of a digital record,</w:t>
      </w:r>
    </w:p>
    <w:p w14:paraId="3ECFA9CD" w14:textId="77777777" w:rsidR="00CB6012" w:rsidRDefault="00CB6012" w:rsidP="00CB6012">
      <w:pPr>
        <w:pStyle w:val="NoSpacing"/>
        <w:jc w:val="both"/>
      </w:pPr>
    </w:p>
    <w:p w14:paraId="616BB794" w14:textId="48C4BE91" w:rsidR="00CB6012" w:rsidRPr="00CB6012" w:rsidRDefault="00CB6012" w:rsidP="00CB6012">
      <w:pPr>
        <w:pStyle w:val="NoSpacing"/>
        <w:numPr>
          <w:ilvl w:val="0"/>
          <w:numId w:val="22"/>
        </w:numPr>
        <w:jc w:val="both"/>
      </w:pPr>
      <w:r w:rsidRPr="00CB6012">
        <w:t xml:space="preserve">what is a permitted digital </w:t>
      </w:r>
      <w:proofErr w:type="gramStart"/>
      <w:r w:rsidRPr="00CB6012">
        <w:t>link,</w:t>
      </w:r>
      <w:proofErr w:type="gramEnd"/>
    </w:p>
    <w:p w14:paraId="7C6E9B8D" w14:textId="77777777" w:rsidR="00CB6012" w:rsidRPr="00CB6012" w:rsidRDefault="00CB6012" w:rsidP="00CB6012">
      <w:pPr>
        <w:pStyle w:val="NoSpacing"/>
        <w:numPr>
          <w:ilvl w:val="0"/>
          <w:numId w:val="22"/>
        </w:numPr>
        <w:jc w:val="both"/>
      </w:pPr>
      <w:r w:rsidRPr="00CB6012">
        <w:t>when does the digital journey start,</w:t>
      </w:r>
    </w:p>
    <w:p w14:paraId="3A527AEA" w14:textId="77777777" w:rsidR="00CB6012" w:rsidRPr="00CB6012" w:rsidRDefault="00CB6012" w:rsidP="00CB6012">
      <w:pPr>
        <w:pStyle w:val="NoSpacing"/>
        <w:numPr>
          <w:ilvl w:val="0"/>
          <w:numId w:val="22"/>
        </w:numPr>
        <w:jc w:val="both"/>
      </w:pPr>
      <w:r w:rsidRPr="00CB6012">
        <w:t xml:space="preserve">what manual adjustments are </w:t>
      </w:r>
      <w:proofErr w:type="gramStart"/>
      <w:r w:rsidRPr="00CB6012">
        <w:t>permitted</w:t>
      </w:r>
      <w:proofErr w:type="gramEnd"/>
    </w:p>
    <w:p w14:paraId="0942453E" w14:textId="77777777" w:rsidR="00CB6012" w:rsidRPr="00CB6012" w:rsidRDefault="00CB6012" w:rsidP="00CB6012">
      <w:pPr>
        <w:pStyle w:val="NoSpacing"/>
        <w:numPr>
          <w:ilvl w:val="0"/>
          <w:numId w:val="22"/>
        </w:numPr>
        <w:jc w:val="both"/>
      </w:pPr>
      <w:r w:rsidRPr="00CB6012">
        <w:t>what steps do charities need to take to demonstrate compliance.</w:t>
      </w:r>
    </w:p>
    <w:p w14:paraId="20A334CD" w14:textId="77777777" w:rsidR="00CB6012" w:rsidRDefault="00CB6012" w:rsidP="00CB6012">
      <w:pPr>
        <w:pStyle w:val="NoSpacing"/>
        <w:jc w:val="both"/>
      </w:pPr>
    </w:p>
    <w:p w14:paraId="6810466F" w14:textId="244C5D47" w:rsidR="00CB6012" w:rsidRDefault="00CB6012" w:rsidP="00CB6012">
      <w:pPr>
        <w:pStyle w:val="NoSpacing"/>
        <w:jc w:val="both"/>
      </w:pPr>
      <w:r>
        <w:t>Answers to questions at the webinar have now been answered in writing by HMRC officials below. Charities are reminded to review their own individual arrangements and take advice from HMRC and professional advisers where appropriate.</w:t>
      </w:r>
    </w:p>
    <w:p w14:paraId="49EBFF56" w14:textId="77777777" w:rsidR="00CB6012" w:rsidRDefault="00CB6012" w:rsidP="00CB6012">
      <w:pPr>
        <w:pStyle w:val="NoSpacing"/>
      </w:pPr>
    </w:p>
    <w:tbl>
      <w:tblPr>
        <w:tblStyle w:val="TableGrid"/>
        <w:tblW w:w="9782" w:type="dxa"/>
        <w:tblInd w:w="-289" w:type="dxa"/>
        <w:tblLook w:val="04A0" w:firstRow="1" w:lastRow="0" w:firstColumn="1" w:lastColumn="0" w:noHBand="0" w:noVBand="1"/>
      </w:tblPr>
      <w:tblGrid>
        <w:gridCol w:w="4508"/>
        <w:gridCol w:w="5274"/>
      </w:tblGrid>
      <w:tr w:rsidR="00BB5553" w:rsidRPr="00BB5553" w14:paraId="19419198" w14:textId="77777777" w:rsidTr="00CB6012">
        <w:tc>
          <w:tcPr>
            <w:tcW w:w="4508" w:type="dxa"/>
          </w:tcPr>
          <w:p w14:paraId="5EE72FC8" w14:textId="4D5E0E15" w:rsidR="00E93E44" w:rsidRPr="00CB6012" w:rsidRDefault="002A46B8" w:rsidP="00954AFF">
            <w:pPr>
              <w:pStyle w:val="Default"/>
              <w:rPr>
                <w:rFonts w:asciiTheme="minorHAnsi" w:hAnsiTheme="minorHAnsi" w:cstheme="minorBidi"/>
                <w:b/>
                <w:bCs/>
                <w:color w:val="auto"/>
                <w:sz w:val="22"/>
                <w:szCs w:val="22"/>
              </w:rPr>
            </w:pPr>
            <w:r w:rsidRPr="00CB6012">
              <w:rPr>
                <w:rFonts w:asciiTheme="minorHAnsi" w:hAnsiTheme="minorHAnsi" w:cstheme="minorBidi"/>
                <w:b/>
                <w:bCs/>
                <w:color w:val="auto"/>
                <w:sz w:val="22"/>
                <w:szCs w:val="22"/>
              </w:rPr>
              <w:t>Question</w:t>
            </w:r>
          </w:p>
        </w:tc>
        <w:tc>
          <w:tcPr>
            <w:tcW w:w="5274" w:type="dxa"/>
          </w:tcPr>
          <w:p w14:paraId="6620F41B" w14:textId="270C95E5" w:rsidR="00E93E44" w:rsidRPr="00CB6012" w:rsidRDefault="002A46B8" w:rsidP="00954AFF">
            <w:pPr>
              <w:pStyle w:val="Default"/>
              <w:rPr>
                <w:rFonts w:asciiTheme="minorHAnsi" w:hAnsiTheme="minorHAnsi" w:cstheme="minorBidi"/>
                <w:b/>
                <w:bCs/>
                <w:color w:val="auto"/>
                <w:sz w:val="22"/>
                <w:szCs w:val="22"/>
              </w:rPr>
            </w:pPr>
            <w:r w:rsidRPr="00CB6012">
              <w:rPr>
                <w:rFonts w:asciiTheme="minorHAnsi" w:hAnsiTheme="minorHAnsi" w:cstheme="minorBidi"/>
                <w:b/>
                <w:bCs/>
                <w:color w:val="auto"/>
                <w:sz w:val="22"/>
                <w:szCs w:val="22"/>
              </w:rPr>
              <w:t>Response</w:t>
            </w:r>
          </w:p>
        </w:tc>
      </w:tr>
      <w:tr w:rsidR="00BB5553" w:rsidRPr="00BB5553" w14:paraId="2169D156" w14:textId="77777777" w:rsidTr="00CB6012">
        <w:tc>
          <w:tcPr>
            <w:tcW w:w="4508" w:type="dxa"/>
          </w:tcPr>
          <w:p w14:paraId="659D86FB" w14:textId="54B0D3BD" w:rsidR="002A46B8" w:rsidRPr="00BB5553" w:rsidRDefault="002A46B8" w:rsidP="002A46B8">
            <w:r w:rsidRPr="00BB5553">
              <w:t>What will HMRC expect to see during a compliance visit?</w:t>
            </w:r>
            <w:r w:rsidR="00A41C57" w:rsidRPr="00BB5553">
              <w:t xml:space="preserve"> (slide 10)</w:t>
            </w:r>
          </w:p>
          <w:p w14:paraId="037B2946" w14:textId="77777777" w:rsidR="00E93E44" w:rsidRPr="00BB5553" w:rsidRDefault="00E93E44" w:rsidP="002A46B8">
            <w:pPr>
              <w:ind w:left="360"/>
            </w:pPr>
          </w:p>
        </w:tc>
        <w:tc>
          <w:tcPr>
            <w:tcW w:w="5274" w:type="dxa"/>
          </w:tcPr>
          <w:p w14:paraId="5EDE5660" w14:textId="485B6140" w:rsidR="00D238A4" w:rsidRDefault="007A63B9" w:rsidP="00954AFF">
            <w:pPr>
              <w:pStyle w:val="Default"/>
              <w:rPr>
                <w:rFonts w:asciiTheme="minorHAnsi" w:hAnsiTheme="minorHAnsi" w:cstheme="minorBidi"/>
                <w:i/>
                <w:color w:val="auto"/>
                <w:sz w:val="22"/>
                <w:szCs w:val="22"/>
              </w:rPr>
            </w:pPr>
            <w:r w:rsidRPr="00D238A4">
              <w:rPr>
                <w:rFonts w:asciiTheme="minorHAnsi" w:hAnsiTheme="minorHAnsi" w:cstheme="minorBidi"/>
                <w:i/>
                <w:color w:val="auto"/>
                <w:sz w:val="22"/>
                <w:szCs w:val="22"/>
              </w:rPr>
              <w:t>HMRC will expect the tax manager/</w:t>
            </w:r>
            <w:r w:rsidR="00CB6012">
              <w:rPr>
                <w:rFonts w:asciiTheme="minorHAnsi" w:hAnsiTheme="minorHAnsi" w:cstheme="minorBidi"/>
                <w:i/>
                <w:color w:val="auto"/>
                <w:sz w:val="22"/>
                <w:szCs w:val="22"/>
              </w:rPr>
              <w:t xml:space="preserve"> </w:t>
            </w:r>
            <w:r w:rsidRPr="00D238A4">
              <w:rPr>
                <w:rFonts w:asciiTheme="minorHAnsi" w:hAnsiTheme="minorHAnsi" w:cstheme="minorBidi"/>
                <w:i/>
                <w:color w:val="auto"/>
                <w:sz w:val="22"/>
                <w:szCs w:val="22"/>
              </w:rPr>
              <w:t>accountant/</w:t>
            </w:r>
            <w:r w:rsidR="00CB6012">
              <w:rPr>
                <w:rFonts w:asciiTheme="minorHAnsi" w:hAnsiTheme="minorHAnsi" w:cstheme="minorBidi"/>
                <w:i/>
                <w:color w:val="auto"/>
                <w:sz w:val="22"/>
                <w:szCs w:val="22"/>
              </w:rPr>
              <w:t xml:space="preserve"> </w:t>
            </w:r>
            <w:r w:rsidRPr="00D238A4">
              <w:rPr>
                <w:rFonts w:asciiTheme="minorHAnsi" w:hAnsiTheme="minorHAnsi" w:cstheme="minorBidi"/>
                <w:i/>
                <w:color w:val="auto"/>
                <w:sz w:val="22"/>
                <w:szCs w:val="22"/>
              </w:rPr>
              <w:t xml:space="preserve">agent to run through the </w:t>
            </w:r>
            <w:proofErr w:type="spellStart"/>
            <w:r w:rsidRPr="00D238A4">
              <w:rPr>
                <w:rFonts w:asciiTheme="minorHAnsi" w:hAnsiTheme="minorHAnsi" w:cstheme="minorBidi"/>
                <w:i/>
                <w:color w:val="auto"/>
                <w:sz w:val="22"/>
                <w:szCs w:val="22"/>
              </w:rPr>
              <w:t>build up</w:t>
            </w:r>
            <w:proofErr w:type="spellEnd"/>
            <w:r w:rsidRPr="00D238A4">
              <w:rPr>
                <w:rFonts w:asciiTheme="minorHAnsi" w:hAnsiTheme="minorHAnsi" w:cstheme="minorBidi"/>
                <w:i/>
                <w:color w:val="auto"/>
                <w:sz w:val="22"/>
                <w:szCs w:val="22"/>
              </w:rPr>
              <w:t xml:space="preserve"> of the “electronic VAT account” and </w:t>
            </w:r>
            <w:r w:rsidR="00AB1C30" w:rsidRPr="00D238A4">
              <w:rPr>
                <w:rFonts w:asciiTheme="minorHAnsi" w:hAnsiTheme="minorHAnsi" w:cstheme="minorBidi"/>
                <w:i/>
                <w:color w:val="auto"/>
                <w:sz w:val="22"/>
                <w:szCs w:val="22"/>
              </w:rPr>
              <w:t xml:space="preserve">describe </w:t>
            </w:r>
            <w:r w:rsidRPr="00D238A4">
              <w:rPr>
                <w:rFonts w:asciiTheme="minorHAnsi" w:hAnsiTheme="minorHAnsi" w:cstheme="minorBidi"/>
                <w:i/>
                <w:color w:val="auto"/>
                <w:sz w:val="22"/>
                <w:szCs w:val="22"/>
              </w:rPr>
              <w:t>how data is passed between functional compatible software, this may include a request for a demonstration in limited circumstances</w:t>
            </w:r>
            <w:r w:rsidR="00D238A4">
              <w:rPr>
                <w:rFonts w:asciiTheme="minorHAnsi" w:hAnsiTheme="minorHAnsi" w:cstheme="minorBidi"/>
                <w:i/>
                <w:color w:val="auto"/>
                <w:sz w:val="22"/>
                <w:szCs w:val="22"/>
              </w:rPr>
              <w:t>.</w:t>
            </w:r>
          </w:p>
          <w:p w14:paraId="26EB069F" w14:textId="4EC46187" w:rsidR="00E93E44" w:rsidRPr="00D238A4" w:rsidRDefault="007A63B9" w:rsidP="00954AFF">
            <w:pPr>
              <w:pStyle w:val="Default"/>
              <w:rPr>
                <w:rFonts w:asciiTheme="minorHAnsi" w:hAnsiTheme="minorHAnsi" w:cstheme="minorBidi"/>
                <w:i/>
                <w:color w:val="auto"/>
                <w:sz w:val="22"/>
                <w:szCs w:val="22"/>
              </w:rPr>
            </w:pPr>
            <w:r w:rsidRPr="00D238A4">
              <w:rPr>
                <w:rFonts w:asciiTheme="minorHAnsi" w:hAnsiTheme="minorHAnsi" w:cstheme="minorBidi"/>
                <w:i/>
                <w:color w:val="auto"/>
                <w:sz w:val="22"/>
                <w:szCs w:val="22"/>
              </w:rPr>
              <w:t xml:space="preserve"> </w:t>
            </w:r>
          </w:p>
        </w:tc>
      </w:tr>
      <w:tr w:rsidR="00BB5553" w:rsidRPr="00BB5553" w14:paraId="24E5E9D5" w14:textId="77777777" w:rsidTr="00CB6012">
        <w:tc>
          <w:tcPr>
            <w:tcW w:w="4508" w:type="dxa"/>
          </w:tcPr>
          <w:p w14:paraId="365CBC0C" w14:textId="4E446332" w:rsidR="002A46B8" w:rsidRPr="00BB5553" w:rsidRDefault="002A46B8" w:rsidP="002A46B8">
            <w:r w:rsidRPr="00BB5553">
              <w:t>What happens if our digital links processes are not compliant?</w:t>
            </w:r>
            <w:r w:rsidR="006650EC" w:rsidRPr="00BB5553">
              <w:t xml:space="preserve"> (slide 10)</w:t>
            </w:r>
          </w:p>
          <w:p w14:paraId="7390A655" w14:textId="77777777" w:rsidR="00E93E44" w:rsidRPr="00BB5553" w:rsidRDefault="00E93E44" w:rsidP="00954AFF">
            <w:pPr>
              <w:pStyle w:val="Default"/>
              <w:rPr>
                <w:rFonts w:asciiTheme="minorHAnsi" w:hAnsiTheme="minorHAnsi" w:cstheme="minorBidi"/>
                <w:color w:val="auto"/>
                <w:sz w:val="22"/>
                <w:szCs w:val="22"/>
              </w:rPr>
            </w:pPr>
          </w:p>
        </w:tc>
        <w:tc>
          <w:tcPr>
            <w:tcW w:w="5274" w:type="dxa"/>
          </w:tcPr>
          <w:p w14:paraId="7B6F32D0" w14:textId="58CFFA21" w:rsidR="007A63B9" w:rsidRPr="00D238A4" w:rsidRDefault="007A63B9" w:rsidP="007A63B9">
            <w:pPr>
              <w:pStyle w:val="xmsonormal"/>
              <w:rPr>
                <w:i/>
                <w:iCs/>
              </w:rPr>
            </w:pPr>
            <w:r w:rsidRPr="00D238A4">
              <w:rPr>
                <w:i/>
                <w:iCs/>
              </w:rPr>
              <w:t xml:space="preserve">HMRC officers will routinely check customer compliance with MTD rules. Warning letters will be issued for the first instance of non-compliance with digital link requirements. If subsequent checks identify that remedial action has not been taken to comply with MTD rules, HMRC may decide to issue record-keeping penalties. If non-compliance with MTD rules results in errors on VAT returns, </w:t>
            </w:r>
            <w:r w:rsidR="007A0137" w:rsidRPr="00D238A4">
              <w:rPr>
                <w:i/>
                <w:iCs/>
              </w:rPr>
              <w:t xml:space="preserve">inaccuracy </w:t>
            </w:r>
            <w:r w:rsidRPr="00D238A4">
              <w:rPr>
                <w:i/>
                <w:iCs/>
              </w:rPr>
              <w:t xml:space="preserve">penalties may be issued that take in to account the customer’s failure to adhere to digital record keeping and/or digital link rules. </w:t>
            </w:r>
          </w:p>
          <w:p w14:paraId="0F49FFC5" w14:textId="77777777" w:rsidR="00E93E44" w:rsidRPr="00D238A4" w:rsidRDefault="00E93E44" w:rsidP="00954AFF">
            <w:pPr>
              <w:pStyle w:val="Default"/>
              <w:rPr>
                <w:rFonts w:asciiTheme="minorHAnsi" w:hAnsiTheme="minorHAnsi" w:cstheme="minorBidi"/>
                <w:i/>
                <w:color w:val="auto"/>
                <w:sz w:val="22"/>
                <w:szCs w:val="22"/>
              </w:rPr>
            </w:pPr>
          </w:p>
        </w:tc>
      </w:tr>
      <w:tr w:rsidR="00BB5553" w:rsidRPr="00BB5553" w14:paraId="627DC51F" w14:textId="77777777" w:rsidTr="00CB6012">
        <w:tc>
          <w:tcPr>
            <w:tcW w:w="4508" w:type="dxa"/>
          </w:tcPr>
          <w:p w14:paraId="778546E8" w14:textId="67CD80C1" w:rsidR="002A46B8" w:rsidRPr="00BB5553" w:rsidRDefault="002A46B8" w:rsidP="002A46B8">
            <w:r w:rsidRPr="00BB5553">
              <w:t>After downloading data digitally from our accounting system into Excel, it’s indistinguishable from data that’s been typed in manually. How might we be expected to prove that it’s been downloaded digitally?</w:t>
            </w:r>
            <w:r w:rsidR="006650EC" w:rsidRPr="00BB5553">
              <w:t xml:space="preserve"> (slide 10)</w:t>
            </w:r>
          </w:p>
          <w:p w14:paraId="23484BE0" w14:textId="77777777" w:rsidR="00E93E44" w:rsidRPr="00BB5553" w:rsidRDefault="00E93E44" w:rsidP="00954AFF">
            <w:pPr>
              <w:pStyle w:val="Default"/>
              <w:rPr>
                <w:rFonts w:asciiTheme="minorHAnsi" w:hAnsiTheme="minorHAnsi" w:cstheme="minorBidi"/>
                <w:color w:val="auto"/>
                <w:sz w:val="22"/>
                <w:szCs w:val="22"/>
              </w:rPr>
            </w:pPr>
          </w:p>
        </w:tc>
        <w:tc>
          <w:tcPr>
            <w:tcW w:w="5274" w:type="dxa"/>
          </w:tcPr>
          <w:p w14:paraId="26F7453C" w14:textId="77777777" w:rsidR="00E93E44" w:rsidRDefault="007A0137" w:rsidP="00954AFF">
            <w:pPr>
              <w:pStyle w:val="Default"/>
              <w:rPr>
                <w:rFonts w:asciiTheme="minorHAnsi" w:hAnsiTheme="minorHAnsi" w:cstheme="minorBidi"/>
                <w:i/>
                <w:color w:val="auto"/>
                <w:sz w:val="22"/>
                <w:szCs w:val="22"/>
              </w:rPr>
            </w:pPr>
            <w:r w:rsidRPr="00D238A4">
              <w:rPr>
                <w:rFonts w:asciiTheme="minorHAnsi" w:hAnsiTheme="minorHAnsi" w:cstheme="minorBidi"/>
                <w:i/>
                <w:color w:val="auto"/>
                <w:sz w:val="22"/>
                <w:szCs w:val="22"/>
              </w:rPr>
              <w:t xml:space="preserve">HMRC will expect the tax manager/accountant/agent to run through the </w:t>
            </w:r>
            <w:proofErr w:type="spellStart"/>
            <w:r w:rsidRPr="00D238A4">
              <w:rPr>
                <w:rFonts w:asciiTheme="minorHAnsi" w:hAnsiTheme="minorHAnsi" w:cstheme="minorBidi"/>
                <w:i/>
                <w:color w:val="auto"/>
                <w:sz w:val="22"/>
                <w:szCs w:val="22"/>
              </w:rPr>
              <w:t>build up</w:t>
            </w:r>
            <w:proofErr w:type="spellEnd"/>
            <w:r w:rsidRPr="00D238A4">
              <w:rPr>
                <w:rFonts w:asciiTheme="minorHAnsi" w:hAnsiTheme="minorHAnsi" w:cstheme="minorBidi"/>
                <w:i/>
                <w:color w:val="auto"/>
                <w:sz w:val="22"/>
                <w:szCs w:val="22"/>
              </w:rPr>
              <w:t xml:space="preserve"> of the “electronic VAT account” and describe how data is passed between functional compatible software. Where possible and only if necessary, officers may request a demonstration of download functionality to establish that a digital link is in place</w:t>
            </w:r>
            <w:r w:rsidR="00D238A4">
              <w:rPr>
                <w:rFonts w:asciiTheme="minorHAnsi" w:hAnsiTheme="minorHAnsi" w:cstheme="minorBidi"/>
                <w:i/>
                <w:color w:val="auto"/>
                <w:sz w:val="22"/>
                <w:szCs w:val="22"/>
              </w:rPr>
              <w:t>.</w:t>
            </w:r>
          </w:p>
          <w:p w14:paraId="27938C65" w14:textId="72C5BD2C" w:rsidR="00D238A4" w:rsidRPr="00D238A4" w:rsidRDefault="00D238A4" w:rsidP="00954AFF">
            <w:pPr>
              <w:pStyle w:val="Default"/>
              <w:rPr>
                <w:rFonts w:asciiTheme="minorHAnsi" w:hAnsiTheme="minorHAnsi" w:cstheme="minorBidi"/>
                <w:i/>
                <w:color w:val="auto"/>
                <w:sz w:val="22"/>
                <w:szCs w:val="22"/>
              </w:rPr>
            </w:pPr>
          </w:p>
        </w:tc>
      </w:tr>
      <w:tr w:rsidR="00BB5553" w:rsidRPr="00BB5553" w14:paraId="15AF91BE" w14:textId="77777777" w:rsidTr="00CB6012">
        <w:tc>
          <w:tcPr>
            <w:tcW w:w="4508" w:type="dxa"/>
          </w:tcPr>
          <w:p w14:paraId="2BF40525" w14:textId="5C57061A" w:rsidR="002A46B8" w:rsidRPr="00BB5553" w:rsidRDefault="002A46B8" w:rsidP="002A46B8">
            <w:r w:rsidRPr="00BB5553">
              <w:t xml:space="preserve">There’s no penalty for the Box 6 and Box 7 figures being wrong, so is there any penalty for </w:t>
            </w:r>
            <w:r w:rsidRPr="00BB5553">
              <w:lastRenderedPageBreak/>
              <w:t>those figures not being derived using correct digital links?</w:t>
            </w:r>
            <w:r w:rsidR="006650EC" w:rsidRPr="00BB5553">
              <w:t xml:space="preserve"> (slide 10)</w:t>
            </w:r>
          </w:p>
          <w:p w14:paraId="0E002C94" w14:textId="77777777" w:rsidR="00E93E44" w:rsidRPr="00BB5553" w:rsidRDefault="00E93E44" w:rsidP="00954AFF">
            <w:pPr>
              <w:pStyle w:val="Default"/>
              <w:rPr>
                <w:rFonts w:asciiTheme="minorHAnsi" w:hAnsiTheme="minorHAnsi" w:cstheme="minorBidi"/>
                <w:color w:val="auto"/>
                <w:sz w:val="22"/>
                <w:szCs w:val="22"/>
              </w:rPr>
            </w:pPr>
          </w:p>
        </w:tc>
        <w:tc>
          <w:tcPr>
            <w:tcW w:w="5274" w:type="dxa"/>
          </w:tcPr>
          <w:p w14:paraId="329F4DEC" w14:textId="77777777" w:rsidR="00E93E44" w:rsidRPr="00D238A4" w:rsidRDefault="00AB1C30" w:rsidP="00954AFF">
            <w:pPr>
              <w:pStyle w:val="Default"/>
              <w:rPr>
                <w:rFonts w:asciiTheme="minorHAnsi" w:hAnsiTheme="minorHAnsi" w:cstheme="minorBidi"/>
                <w:i/>
                <w:color w:val="auto"/>
                <w:sz w:val="22"/>
                <w:szCs w:val="22"/>
              </w:rPr>
            </w:pPr>
            <w:r w:rsidRPr="00D238A4">
              <w:rPr>
                <w:rFonts w:asciiTheme="minorHAnsi" w:hAnsiTheme="minorHAnsi" w:cstheme="minorBidi"/>
                <w:i/>
                <w:color w:val="auto"/>
                <w:sz w:val="22"/>
                <w:szCs w:val="22"/>
              </w:rPr>
              <w:lastRenderedPageBreak/>
              <w:t>T</w:t>
            </w:r>
            <w:r w:rsidR="007A63B9" w:rsidRPr="00D238A4">
              <w:rPr>
                <w:rFonts w:asciiTheme="minorHAnsi" w:hAnsiTheme="minorHAnsi" w:cstheme="minorBidi"/>
                <w:i/>
                <w:color w:val="auto"/>
                <w:sz w:val="22"/>
                <w:szCs w:val="22"/>
              </w:rPr>
              <w:t xml:space="preserve">he electronic VAT account must be maintained in functional compatible software that must be digitally </w:t>
            </w:r>
            <w:r w:rsidR="007A63B9" w:rsidRPr="00D238A4">
              <w:rPr>
                <w:rFonts w:asciiTheme="minorHAnsi" w:hAnsiTheme="minorHAnsi" w:cstheme="minorBidi"/>
                <w:i/>
                <w:color w:val="auto"/>
                <w:sz w:val="22"/>
                <w:szCs w:val="22"/>
              </w:rPr>
              <w:lastRenderedPageBreak/>
              <w:t xml:space="preserve">linked. This includes the </w:t>
            </w:r>
            <w:proofErr w:type="spellStart"/>
            <w:r w:rsidR="007A63B9" w:rsidRPr="00D238A4">
              <w:rPr>
                <w:rFonts w:asciiTheme="minorHAnsi" w:hAnsiTheme="minorHAnsi" w:cstheme="minorBidi"/>
                <w:i/>
                <w:color w:val="auto"/>
                <w:sz w:val="22"/>
                <w:szCs w:val="22"/>
              </w:rPr>
              <w:t>build up</w:t>
            </w:r>
            <w:proofErr w:type="spellEnd"/>
            <w:r w:rsidR="007A63B9" w:rsidRPr="00D238A4">
              <w:rPr>
                <w:rFonts w:asciiTheme="minorHAnsi" w:hAnsiTheme="minorHAnsi" w:cstheme="minorBidi"/>
                <w:i/>
                <w:color w:val="auto"/>
                <w:sz w:val="22"/>
                <w:szCs w:val="22"/>
              </w:rPr>
              <w:t xml:space="preserve"> of the Box 6 and Box 7 figure. While there may be no tax bearing error for incorrect values in boxes 6 and 7, the figures are used by HMRC for both risking and wider statistical/economic purposes. Failure to maintain digital links in this scenario could leave a charity exposed to record keeping penalties</w:t>
            </w:r>
            <w:r w:rsidR="00D238A4" w:rsidRPr="00D238A4">
              <w:rPr>
                <w:rFonts w:asciiTheme="minorHAnsi" w:hAnsiTheme="minorHAnsi" w:cstheme="minorBidi"/>
                <w:i/>
                <w:color w:val="auto"/>
                <w:sz w:val="22"/>
                <w:szCs w:val="22"/>
              </w:rPr>
              <w:t>.</w:t>
            </w:r>
          </w:p>
          <w:p w14:paraId="37BAD5F9" w14:textId="6EC264BB" w:rsidR="00D238A4" w:rsidRPr="00D238A4" w:rsidRDefault="00D238A4" w:rsidP="00954AFF">
            <w:pPr>
              <w:pStyle w:val="Default"/>
              <w:rPr>
                <w:rFonts w:asciiTheme="minorHAnsi" w:hAnsiTheme="minorHAnsi" w:cstheme="minorBidi"/>
                <w:i/>
                <w:color w:val="auto"/>
                <w:sz w:val="22"/>
                <w:szCs w:val="22"/>
              </w:rPr>
            </w:pPr>
          </w:p>
        </w:tc>
      </w:tr>
      <w:tr w:rsidR="00BB5553" w:rsidRPr="00BB5553" w14:paraId="62B54585" w14:textId="77777777" w:rsidTr="00CB6012">
        <w:tc>
          <w:tcPr>
            <w:tcW w:w="4508" w:type="dxa"/>
          </w:tcPr>
          <w:p w14:paraId="4299C435" w14:textId="4E5705F9" w:rsidR="002A46B8" w:rsidRPr="00BB5553" w:rsidRDefault="002A46B8" w:rsidP="002A46B8">
            <w:r w:rsidRPr="00BB5553">
              <w:lastRenderedPageBreak/>
              <w:t>It would be good to hear directly from HMRC the rationale for digital links and where it lies on the spectrum of the two extremes mentioned.</w:t>
            </w:r>
            <w:r w:rsidR="00B11581" w:rsidRPr="00BB5553">
              <w:t xml:space="preserve"> (slide 11)</w:t>
            </w:r>
          </w:p>
          <w:p w14:paraId="0B76E92A" w14:textId="6370FF54" w:rsidR="00E93E44" w:rsidRPr="00BB5553" w:rsidRDefault="00E93E44" w:rsidP="002A46B8">
            <w:pPr>
              <w:pStyle w:val="Default"/>
              <w:rPr>
                <w:rFonts w:asciiTheme="minorHAnsi" w:hAnsiTheme="minorHAnsi" w:cstheme="minorBidi"/>
                <w:i/>
                <w:color w:val="auto"/>
                <w:sz w:val="22"/>
                <w:szCs w:val="22"/>
              </w:rPr>
            </w:pPr>
          </w:p>
        </w:tc>
        <w:tc>
          <w:tcPr>
            <w:tcW w:w="5274" w:type="dxa"/>
          </w:tcPr>
          <w:p w14:paraId="01002A36" w14:textId="2C2B3751" w:rsidR="002A46B8" w:rsidRPr="00BB5553" w:rsidRDefault="002A46B8" w:rsidP="002A46B8">
            <w:pPr>
              <w:rPr>
                <w:i/>
              </w:rPr>
            </w:pPr>
            <w:r w:rsidRPr="00BB5553">
              <w:rPr>
                <w:i/>
              </w:rPr>
              <w:t>Making Tax Digital Programme supports the Government’s plans to build a trusted, modern tax administration system. This will help the tax administration keep pace with rapid change in society, the economy and technology.</w:t>
            </w:r>
          </w:p>
          <w:p w14:paraId="10F5F4F9" w14:textId="77777777" w:rsidR="004D5866" w:rsidRPr="00BB5553" w:rsidRDefault="004D5866" w:rsidP="002A46B8">
            <w:pPr>
              <w:rPr>
                <w:i/>
              </w:rPr>
            </w:pPr>
          </w:p>
          <w:p w14:paraId="7E601448" w14:textId="6937C7F1" w:rsidR="002A46B8" w:rsidRPr="00BB5553" w:rsidRDefault="002A46B8" w:rsidP="002A46B8">
            <w:pPr>
              <w:rPr>
                <w:i/>
              </w:rPr>
            </w:pPr>
            <w:r w:rsidRPr="00BB5553">
              <w:rPr>
                <w:i/>
              </w:rPr>
              <w:t>Making Tax Digital will also help reduce the tax gap, which currently stands at £31 billion, of which 32% is VAT related. A key component of the tax gap are errors caused due to ‘failure to take reasonable care’ resulting from transposition errors.</w:t>
            </w:r>
          </w:p>
          <w:p w14:paraId="1BFE51AD" w14:textId="77777777" w:rsidR="00270965" w:rsidRPr="00BB5553" w:rsidRDefault="00270965" w:rsidP="002A46B8">
            <w:pPr>
              <w:rPr>
                <w:i/>
              </w:rPr>
            </w:pPr>
          </w:p>
          <w:p w14:paraId="097728AB" w14:textId="77777777" w:rsidR="00E93E44" w:rsidRPr="00BB5553" w:rsidRDefault="002A46B8" w:rsidP="002A46B8">
            <w:pPr>
              <w:pStyle w:val="Default"/>
              <w:rPr>
                <w:rFonts w:asciiTheme="minorHAnsi" w:hAnsiTheme="minorHAnsi" w:cstheme="minorBidi"/>
                <w:i/>
                <w:color w:val="auto"/>
                <w:sz w:val="22"/>
                <w:szCs w:val="22"/>
              </w:rPr>
            </w:pPr>
            <w:r w:rsidRPr="00BB5553">
              <w:rPr>
                <w:rFonts w:asciiTheme="minorHAnsi" w:hAnsiTheme="minorHAnsi" w:cstheme="minorBidi"/>
                <w:i/>
                <w:color w:val="auto"/>
                <w:sz w:val="22"/>
                <w:szCs w:val="22"/>
              </w:rPr>
              <w:t>To help improve this situation under Making Tax Digital transferring data manually between different parts of a set of software programmes is not acceptable. This information needs to be exchanged electronically between software products without manual intervention</w:t>
            </w:r>
            <w:r w:rsidR="00270965" w:rsidRPr="00BB5553">
              <w:rPr>
                <w:rFonts w:asciiTheme="minorHAnsi" w:hAnsiTheme="minorHAnsi" w:cstheme="minorBidi"/>
                <w:i/>
                <w:color w:val="auto"/>
                <w:sz w:val="22"/>
                <w:szCs w:val="22"/>
              </w:rPr>
              <w:t>.</w:t>
            </w:r>
          </w:p>
          <w:p w14:paraId="6BDB9A24" w14:textId="74F22B61" w:rsidR="00C41E60" w:rsidRPr="00BB5553" w:rsidRDefault="00C41E60" w:rsidP="002A46B8">
            <w:pPr>
              <w:pStyle w:val="Default"/>
              <w:rPr>
                <w:rFonts w:asciiTheme="minorHAnsi" w:hAnsiTheme="minorHAnsi" w:cstheme="minorBidi"/>
                <w:i/>
                <w:color w:val="auto"/>
                <w:sz w:val="22"/>
                <w:szCs w:val="22"/>
              </w:rPr>
            </w:pPr>
          </w:p>
        </w:tc>
      </w:tr>
      <w:tr w:rsidR="00BB5553" w:rsidRPr="00BB5553" w14:paraId="0F26C3BC" w14:textId="77777777" w:rsidTr="00CB6012">
        <w:tc>
          <w:tcPr>
            <w:tcW w:w="4508" w:type="dxa"/>
          </w:tcPr>
          <w:p w14:paraId="0458A144" w14:textId="77777777" w:rsidR="00E93E44" w:rsidRPr="00BB5553" w:rsidRDefault="002A46B8" w:rsidP="002A46B8">
            <w:r w:rsidRPr="00BB5553">
              <w:t>Can you please confirm that bridging software is an acceptable on-going solution to HMRC?</w:t>
            </w:r>
            <w:r w:rsidR="00B11581" w:rsidRPr="00BB5553">
              <w:t xml:space="preserve"> (slide </w:t>
            </w:r>
            <w:r w:rsidR="00FB6C6B" w:rsidRPr="00BB5553">
              <w:t>12)</w:t>
            </w:r>
          </w:p>
          <w:p w14:paraId="5F38F5A0" w14:textId="39C98DFB" w:rsidR="00FB6C6B" w:rsidRPr="00BB5553" w:rsidRDefault="00FB6C6B" w:rsidP="002A46B8"/>
        </w:tc>
        <w:tc>
          <w:tcPr>
            <w:tcW w:w="5274" w:type="dxa"/>
          </w:tcPr>
          <w:p w14:paraId="2733F410" w14:textId="0275F4BC" w:rsidR="00E93E44" w:rsidRPr="00BB5553" w:rsidRDefault="002A46B8" w:rsidP="00954AFF">
            <w:pPr>
              <w:pStyle w:val="Default"/>
              <w:rPr>
                <w:rFonts w:asciiTheme="minorHAnsi" w:hAnsiTheme="minorHAnsi" w:cstheme="minorBidi"/>
                <w:color w:val="auto"/>
                <w:sz w:val="22"/>
                <w:szCs w:val="22"/>
              </w:rPr>
            </w:pPr>
            <w:r w:rsidRPr="00BB5553">
              <w:rPr>
                <w:rFonts w:asciiTheme="minorHAnsi" w:hAnsiTheme="minorHAnsi" w:cstheme="minorBidi"/>
                <w:i/>
                <w:color w:val="auto"/>
                <w:sz w:val="22"/>
                <w:szCs w:val="22"/>
              </w:rPr>
              <w:t>We will be continuing with bridging software. This is also highlighted in the VAT Notice 700/22 section 4.</w:t>
            </w:r>
            <w:r w:rsidR="00220D6F" w:rsidRPr="00BB5553">
              <w:rPr>
                <w:rFonts w:asciiTheme="minorHAnsi" w:hAnsiTheme="minorHAnsi" w:cstheme="minorBidi"/>
                <w:i/>
                <w:color w:val="auto"/>
                <w:sz w:val="22"/>
                <w:szCs w:val="22"/>
              </w:rPr>
              <w:t>2.3.</w:t>
            </w:r>
          </w:p>
        </w:tc>
      </w:tr>
      <w:tr w:rsidR="00BB5553" w:rsidRPr="00BB5553" w14:paraId="7D71AF7B" w14:textId="77777777" w:rsidTr="00CB6012">
        <w:tc>
          <w:tcPr>
            <w:tcW w:w="4508" w:type="dxa"/>
          </w:tcPr>
          <w:p w14:paraId="489A611B" w14:textId="7C0782B6" w:rsidR="001135F9" w:rsidRPr="00BB5553" w:rsidRDefault="001135F9" w:rsidP="001135F9">
            <w:r w:rsidRPr="00BB5553">
              <w:t>“I’ve been unable to find a definitive definition of what a digital link is - can HMRC clarify this”</w:t>
            </w:r>
            <w:r w:rsidR="00FB6C6B" w:rsidRPr="00BB5553">
              <w:t xml:space="preserve"> (slide 13)</w:t>
            </w:r>
          </w:p>
          <w:p w14:paraId="658C203F" w14:textId="77777777" w:rsidR="001135F9" w:rsidRPr="00BB5553" w:rsidRDefault="001135F9" w:rsidP="001135F9">
            <w:pPr>
              <w:pStyle w:val="ListParagraph"/>
            </w:pPr>
          </w:p>
          <w:p w14:paraId="5D2FC66E" w14:textId="77777777" w:rsidR="00E93E44" w:rsidRPr="00BB5553" w:rsidRDefault="00E93E44" w:rsidP="001135F9">
            <w:pPr>
              <w:pStyle w:val="ListParagraph"/>
            </w:pPr>
          </w:p>
        </w:tc>
        <w:tc>
          <w:tcPr>
            <w:tcW w:w="5274" w:type="dxa"/>
          </w:tcPr>
          <w:p w14:paraId="777E748E" w14:textId="3850E279" w:rsidR="001135F9" w:rsidRPr="00BB5553" w:rsidRDefault="001135F9" w:rsidP="001135F9">
            <w:pPr>
              <w:rPr>
                <w:i/>
              </w:rPr>
            </w:pPr>
            <w:r w:rsidRPr="00BB5553">
              <w:rPr>
                <w:i/>
              </w:rPr>
              <w:t>The definition is set out under para 4.2.1 of the VAT Notice 700/22:</w:t>
            </w:r>
          </w:p>
          <w:p w14:paraId="494A7275" w14:textId="77777777" w:rsidR="001135F9" w:rsidRPr="00BB5553" w:rsidRDefault="001135F9" w:rsidP="001135F9">
            <w:pPr>
              <w:rPr>
                <w:i/>
              </w:rPr>
            </w:pPr>
            <w:r w:rsidRPr="00BB5553">
              <w:rPr>
                <w:i/>
              </w:rPr>
              <w:t>A ‘digital link’ is one where a transfer or exchange of data is made, or can be made, electronically between software programs, products or applications. That is without the involvement or need for manual intervention such as the copying over of information by hand or the manual transposition of data between 2 or more pieces of software.</w:t>
            </w:r>
          </w:p>
          <w:p w14:paraId="0CDC6093" w14:textId="77777777" w:rsidR="00E93E44" w:rsidRPr="00BB5553" w:rsidRDefault="00E93E44" w:rsidP="00954AFF">
            <w:pPr>
              <w:pStyle w:val="Default"/>
              <w:rPr>
                <w:rFonts w:asciiTheme="minorHAnsi" w:hAnsiTheme="minorHAnsi" w:cstheme="minorBidi"/>
                <w:color w:val="auto"/>
                <w:sz w:val="22"/>
                <w:szCs w:val="22"/>
              </w:rPr>
            </w:pPr>
          </w:p>
        </w:tc>
      </w:tr>
      <w:tr w:rsidR="00BB5553" w:rsidRPr="00BB5553" w14:paraId="1C59C2C8" w14:textId="77777777" w:rsidTr="00CB6012">
        <w:tc>
          <w:tcPr>
            <w:tcW w:w="4508" w:type="dxa"/>
          </w:tcPr>
          <w:p w14:paraId="4114A987" w14:textId="2E6EA59C" w:rsidR="000D49E4" w:rsidRPr="00BB5553" w:rsidRDefault="000D49E4" w:rsidP="000D49E4">
            <w:r w:rsidRPr="00BB5553">
              <w:t>If a set of transactions are downloaded from a separate system and then uploaded into the main accounting system, does this constitute a digital link?</w:t>
            </w:r>
            <w:r w:rsidR="00FB6C6B" w:rsidRPr="00BB5553">
              <w:t xml:space="preserve"> (slide </w:t>
            </w:r>
            <w:r w:rsidR="00BF68F2" w:rsidRPr="00BB5553">
              <w:t>13)</w:t>
            </w:r>
          </w:p>
          <w:p w14:paraId="48D511A0" w14:textId="77777777" w:rsidR="00E93E44" w:rsidRPr="00BB5553" w:rsidRDefault="00E93E44" w:rsidP="000D49E4"/>
        </w:tc>
        <w:tc>
          <w:tcPr>
            <w:tcW w:w="5274" w:type="dxa"/>
          </w:tcPr>
          <w:p w14:paraId="66B02B32" w14:textId="77777777" w:rsidR="000D49E4" w:rsidRPr="00BB5553" w:rsidRDefault="000D49E4" w:rsidP="000D49E4">
            <w:pPr>
              <w:rPr>
                <w:i/>
              </w:rPr>
            </w:pPr>
            <w:r w:rsidRPr="00BB5553">
              <w:rPr>
                <w:i/>
              </w:rPr>
              <w:t>Yes</w:t>
            </w:r>
          </w:p>
          <w:p w14:paraId="31120BC1" w14:textId="77777777" w:rsidR="00E93E44" w:rsidRPr="00BB5553" w:rsidRDefault="00E93E44" w:rsidP="00954AFF">
            <w:pPr>
              <w:pStyle w:val="Default"/>
              <w:rPr>
                <w:rFonts w:asciiTheme="minorHAnsi" w:hAnsiTheme="minorHAnsi" w:cstheme="minorBidi"/>
                <w:color w:val="auto"/>
                <w:sz w:val="22"/>
                <w:szCs w:val="22"/>
              </w:rPr>
            </w:pPr>
          </w:p>
        </w:tc>
      </w:tr>
      <w:tr w:rsidR="00BB5553" w:rsidRPr="00BB5553" w14:paraId="6B439E7C" w14:textId="77777777" w:rsidTr="00CB6012">
        <w:tc>
          <w:tcPr>
            <w:tcW w:w="4508" w:type="dxa"/>
          </w:tcPr>
          <w:p w14:paraId="1C70F6A0" w14:textId="004B4A9B" w:rsidR="00B21EED" w:rsidRPr="00BB5553" w:rsidRDefault="00B21EED" w:rsidP="00785DF1">
            <w:r w:rsidRPr="00BB5553">
              <w:t>In what kind of scenarios would the digital journey begin prior to the stage of a transaction being present in the main accounting system? Or is the main accounting system always the first stage?</w:t>
            </w:r>
            <w:r w:rsidR="00BF68F2" w:rsidRPr="00BB5553">
              <w:t xml:space="preserve"> (slide 13)</w:t>
            </w:r>
          </w:p>
          <w:p w14:paraId="3A923A10" w14:textId="77777777" w:rsidR="00E93E44" w:rsidRPr="00BB5553" w:rsidRDefault="00E93E44" w:rsidP="00B21EED"/>
        </w:tc>
        <w:tc>
          <w:tcPr>
            <w:tcW w:w="5274" w:type="dxa"/>
          </w:tcPr>
          <w:p w14:paraId="4B5FE38F" w14:textId="29100215" w:rsidR="00B21EED" w:rsidRPr="00BB5553" w:rsidRDefault="00B21EED" w:rsidP="00B21EED">
            <w:pPr>
              <w:rPr>
                <w:i/>
              </w:rPr>
            </w:pPr>
            <w:r w:rsidRPr="00BB5553">
              <w:rPr>
                <w:i/>
              </w:rPr>
              <w:t xml:space="preserve">Where a business is holding a digital record at point X in a system and only summary data is being forwarded on from that point then point X is where the electronic account data is held. </w:t>
            </w:r>
          </w:p>
          <w:p w14:paraId="38A9BB91" w14:textId="6E439A3C" w:rsidR="00B21EED" w:rsidRPr="00BB5553" w:rsidRDefault="00B21EED" w:rsidP="00B21EED">
            <w:pPr>
              <w:rPr>
                <w:i/>
              </w:rPr>
            </w:pPr>
            <w:r w:rsidRPr="00BB5553">
              <w:rPr>
                <w:i/>
              </w:rPr>
              <w:t xml:space="preserve">Patrons book event tickets online &amp; the ticketing software records the details of each transaction. </w:t>
            </w:r>
            <w:r w:rsidR="00E44ABC" w:rsidRPr="00BB5553">
              <w:rPr>
                <w:i/>
              </w:rPr>
              <w:t>Reports are g</w:t>
            </w:r>
            <w:r w:rsidRPr="00BB5553">
              <w:rPr>
                <w:i/>
              </w:rPr>
              <w:t>enerate</w:t>
            </w:r>
            <w:r w:rsidR="00E44ABC" w:rsidRPr="00BB5553">
              <w:rPr>
                <w:i/>
              </w:rPr>
              <w:t>d</w:t>
            </w:r>
            <w:r w:rsidRPr="00BB5553">
              <w:rPr>
                <w:i/>
              </w:rPr>
              <w:t xml:space="preserve"> from the ticketing software which </w:t>
            </w:r>
            <w:r w:rsidR="00E44ABC" w:rsidRPr="00BB5553">
              <w:rPr>
                <w:i/>
              </w:rPr>
              <w:t>are</w:t>
            </w:r>
            <w:r w:rsidRPr="00BB5553">
              <w:rPr>
                <w:i/>
              </w:rPr>
              <w:t xml:space="preserve"> </w:t>
            </w:r>
            <w:r w:rsidRPr="00BB5553">
              <w:rPr>
                <w:i/>
              </w:rPr>
              <w:lastRenderedPageBreak/>
              <w:t xml:space="preserve">import into Excel itemising transactions by type and VAT treatment. In Excel formulas </w:t>
            </w:r>
            <w:r w:rsidR="00EB7AA9" w:rsidRPr="00BB5553">
              <w:rPr>
                <w:i/>
              </w:rPr>
              <w:t xml:space="preserve">are used </w:t>
            </w:r>
            <w:r w:rsidRPr="00BB5553">
              <w:rPr>
                <w:i/>
              </w:rPr>
              <w:t xml:space="preserve">to restructure the data from one worksheet to another, then </w:t>
            </w:r>
            <w:r w:rsidR="00EB7AA9" w:rsidRPr="00BB5553">
              <w:rPr>
                <w:i/>
              </w:rPr>
              <w:t>this can be</w:t>
            </w:r>
            <w:r w:rsidRPr="00BB5553">
              <w:rPr>
                <w:i/>
              </w:rPr>
              <w:t xml:space="preserve"> import</w:t>
            </w:r>
            <w:r w:rsidR="00EB7AA9" w:rsidRPr="00BB5553">
              <w:rPr>
                <w:i/>
              </w:rPr>
              <w:t>ed</w:t>
            </w:r>
            <w:r w:rsidRPr="00BB5553">
              <w:rPr>
                <w:i/>
              </w:rPr>
              <w:t xml:space="preserve"> from the second worksheet into </w:t>
            </w:r>
            <w:r w:rsidR="00EB7AA9" w:rsidRPr="00BB5553">
              <w:rPr>
                <w:i/>
              </w:rPr>
              <w:t>the</w:t>
            </w:r>
            <w:r w:rsidRPr="00BB5553">
              <w:rPr>
                <w:i/>
              </w:rPr>
              <w:t xml:space="preserve"> finance software.</w:t>
            </w:r>
          </w:p>
          <w:p w14:paraId="16CA55A0" w14:textId="77777777" w:rsidR="00E93E44" w:rsidRPr="00BB5553" w:rsidRDefault="00E93E44" w:rsidP="00785DF1"/>
        </w:tc>
      </w:tr>
      <w:tr w:rsidR="00BB5553" w:rsidRPr="00BB5553" w14:paraId="320D7F56" w14:textId="77777777" w:rsidTr="00CB6012">
        <w:tc>
          <w:tcPr>
            <w:tcW w:w="4508" w:type="dxa"/>
          </w:tcPr>
          <w:p w14:paraId="6D531DB2" w14:textId="4BAE70C0" w:rsidR="00B21EED" w:rsidRPr="00BB5553" w:rsidRDefault="00B21EED" w:rsidP="00B21EED">
            <w:r w:rsidRPr="00BB5553">
              <w:lastRenderedPageBreak/>
              <w:t>Where does the digital journey begin? Is the ticketing software considered part of our ‘functional compatible software’?</w:t>
            </w:r>
            <w:r w:rsidR="00CB71E0" w:rsidRPr="00BB5553">
              <w:t xml:space="preserve"> (slide 14)</w:t>
            </w:r>
          </w:p>
          <w:p w14:paraId="1C23E034" w14:textId="77777777" w:rsidR="00E93E44" w:rsidRPr="00BB5553" w:rsidRDefault="00E93E44" w:rsidP="00954AFF">
            <w:pPr>
              <w:pStyle w:val="Default"/>
              <w:rPr>
                <w:rFonts w:asciiTheme="minorHAnsi" w:hAnsiTheme="minorHAnsi" w:cstheme="minorBidi"/>
                <w:color w:val="auto"/>
                <w:sz w:val="22"/>
                <w:szCs w:val="22"/>
              </w:rPr>
            </w:pPr>
          </w:p>
        </w:tc>
        <w:tc>
          <w:tcPr>
            <w:tcW w:w="5274" w:type="dxa"/>
          </w:tcPr>
          <w:p w14:paraId="52AC5680" w14:textId="70FE7E09" w:rsidR="00B21EED" w:rsidRPr="00BB5553" w:rsidRDefault="00B21EED" w:rsidP="00B21EED">
            <w:pPr>
              <w:rPr>
                <w:i/>
              </w:rPr>
            </w:pPr>
            <w:r w:rsidRPr="00BB5553">
              <w:rPr>
                <w:i/>
              </w:rPr>
              <w:t>The requirement for the digital journey beings at the excel spreadsheet because itemised details of each sale are in the excel spreadsheet. However, as the information has been exported electronically from the ticket machine the ticketing machine can be considered as part of the functional software.</w:t>
            </w:r>
          </w:p>
          <w:p w14:paraId="6E361714" w14:textId="77777777" w:rsidR="00987433" w:rsidRPr="00BB5553" w:rsidRDefault="00987433" w:rsidP="00B21EED">
            <w:pPr>
              <w:rPr>
                <w:i/>
              </w:rPr>
            </w:pPr>
          </w:p>
          <w:p w14:paraId="387F3BC6" w14:textId="77777777" w:rsidR="00B21EED" w:rsidRPr="00BB5553" w:rsidRDefault="00B21EED" w:rsidP="00B21EED">
            <w:pPr>
              <w:rPr>
                <w:i/>
              </w:rPr>
            </w:pPr>
            <w:r w:rsidRPr="00BB5553">
              <w:rPr>
                <w:i/>
              </w:rPr>
              <w:t>If the ticket machine only sent summary level data electronically to the excel spreadsheet then the ticket machine would be the beginning of the digital journey in this scenario.</w:t>
            </w:r>
          </w:p>
          <w:p w14:paraId="275CE6C3" w14:textId="77777777" w:rsidR="00E93E44" w:rsidRPr="00BB5553" w:rsidRDefault="00E93E44" w:rsidP="00954AFF">
            <w:pPr>
              <w:pStyle w:val="Default"/>
              <w:rPr>
                <w:rFonts w:asciiTheme="minorHAnsi" w:hAnsiTheme="minorHAnsi" w:cstheme="minorBidi"/>
                <w:color w:val="auto"/>
                <w:sz w:val="22"/>
                <w:szCs w:val="22"/>
              </w:rPr>
            </w:pPr>
          </w:p>
        </w:tc>
      </w:tr>
      <w:tr w:rsidR="00BB5553" w:rsidRPr="00BB5553" w14:paraId="51BBE4C4" w14:textId="77777777" w:rsidTr="00CB6012">
        <w:tc>
          <w:tcPr>
            <w:tcW w:w="4508" w:type="dxa"/>
          </w:tcPr>
          <w:p w14:paraId="5EE8B5B7" w14:textId="4BFCF792" w:rsidR="00EB4672" w:rsidRPr="00BB5553" w:rsidRDefault="00EB4672" w:rsidP="00EB4672">
            <w:r w:rsidRPr="00BB5553">
              <w:t>If there is an error in the data exported from the ticketing software can we make a manual correction in the Excel worksheets?”</w:t>
            </w:r>
            <w:r w:rsidR="00CB71E0" w:rsidRPr="00BB5553">
              <w:t xml:space="preserve"> (slide 14)</w:t>
            </w:r>
          </w:p>
          <w:p w14:paraId="4ADADE6F" w14:textId="77777777" w:rsidR="00E93E44" w:rsidRPr="00BB5553" w:rsidRDefault="00E93E44" w:rsidP="00EB4672"/>
        </w:tc>
        <w:tc>
          <w:tcPr>
            <w:tcW w:w="5274" w:type="dxa"/>
          </w:tcPr>
          <w:p w14:paraId="1E8E241D" w14:textId="77777777" w:rsidR="00EB4672" w:rsidRPr="00BB5553" w:rsidRDefault="00EB4672" w:rsidP="00EB4672">
            <w:pPr>
              <w:rPr>
                <w:i/>
              </w:rPr>
            </w:pPr>
            <w:r w:rsidRPr="00BB5553">
              <w:rPr>
                <w:i/>
              </w:rPr>
              <w:t>Yes</w:t>
            </w:r>
          </w:p>
          <w:p w14:paraId="49941A25" w14:textId="77777777" w:rsidR="00E93E44" w:rsidRPr="00BB5553" w:rsidRDefault="00E93E44" w:rsidP="00954AFF">
            <w:pPr>
              <w:pStyle w:val="Default"/>
              <w:rPr>
                <w:rFonts w:asciiTheme="minorHAnsi" w:hAnsiTheme="minorHAnsi" w:cstheme="minorBidi"/>
                <w:color w:val="auto"/>
                <w:sz w:val="22"/>
                <w:szCs w:val="22"/>
              </w:rPr>
            </w:pPr>
          </w:p>
        </w:tc>
      </w:tr>
      <w:tr w:rsidR="00BB5553" w:rsidRPr="00BB5553" w14:paraId="51091481" w14:textId="77777777" w:rsidTr="00CB6012">
        <w:tc>
          <w:tcPr>
            <w:tcW w:w="4508" w:type="dxa"/>
          </w:tcPr>
          <w:p w14:paraId="53273EB0" w14:textId="46401AA1" w:rsidR="00042334" w:rsidRPr="00BB5553" w:rsidRDefault="00042334" w:rsidP="00CB71E0">
            <w:r w:rsidRPr="00BB5553">
              <w:t xml:space="preserve">Our EPOS system produces daily gross takings &amp; VAT on the end of day printouts. These are typed into a spreadsheet for each trading day. Currently I post these as one total monthly deposit into </w:t>
            </w:r>
            <w:proofErr w:type="spellStart"/>
            <w:r w:rsidRPr="00BB5553">
              <w:t>Quickbooks</w:t>
            </w:r>
            <w:proofErr w:type="spellEnd"/>
            <w:r w:rsidRPr="00BB5553">
              <w:t xml:space="preserve">, giving the correct VAT and accounting entries. For MTD would this pass the "digital" test?!” </w:t>
            </w:r>
            <w:r w:rsidR="00CB71E0" w:rsidRPr="00BB5553">
              <w:t xml:space="preserve">(slide </w:t>
            </w:r>
            <w:r w:rsidR="00DF17EE" w:rsidRPr="00BB5553">
              <w:t>15)</w:t>
            </w:r>
          </w:p>
          <w:p w14:paraId="4A910FC0" w14:textId="77777777" w:rsidR="00042334" w:rsidRPr="00BB5553" w:rsidRDefault="00042334" w:rsidP="00042334">
            <w:pPr>
              <w:ind w:firstLine="720"/>
              <w:rPr>
                <w:i/>
              </w:rPr>
            </w:pPr>
          </w:p>
          <w:p w14:paraId="3C1CD281" w14:textId="77777777" w:rsidR="00042334" w:rsidRPr="00BB5553" w:rsidRDefault="00042334" w:rsidP="00042334">
            <w:pPr>
              <w:ind w:left="360"/>
              <w:rPr>
                <w:i/>
              </w:rPr>
            </w:pPr>
          </w:p>
          <w:p w14:paraId="30441F8D" w14:textId="77777777" w:rsidR="00E93E44" w:rsidRPr="00BB5553" w:rsidRDefault="00E93E44" w:rsidP="00042334">
            <w:pPr>
              <w:ind w:firstLine="360"/>
            </w:pPr>
          </w:p>
        </w:tc>
        <w:tc>
          <w:tcPr>
            <w:tcW w:w="5274" w:type="dxa"/>
          </w:tcPr>
          <w:p w14:paraId="5C522FEF" w14:textId="77777777" w:rsidR="0005097F" w:rsidRPr="00BB5553" w:rsidRDefault="0005097F" w:rsidP="003137E3">
            <w:pPr>
              <w:rPr>
                <w:i/>
              </w:rPr>
            </w:pPr>
            <w:r w:rsidRPr="00BB5553">
              <w:rPr>
                <w:i/>
              </w:rPr>
              <w:t>Yes</w:t>
            </w:r>
          </w:p>
          <w:p w14:paraId="407B30BA" w14:textId="77777777" w:rsidR="00E93E44" w:rsidRPr="00BB5553" w:rsidRDefault="00E93E44" w:rsidP="00954AFF">
            <w:pPr>
              <w:pStyle w:val="Default"/>
              <w:rPr>
                <w:rFonts w:asciiTheme="minorHAnsi" w:hAnsiTheme="minorHAnsi" w:cstheme="minorBidi"/>
                <w:color w:val="auto"/>
                <w:sz w:val="22"/>
                <w:szCs w:val="22"/>
              </w:rPr>
            </w:pPr>
          </w:p>
        </w:tc>
      </w:tr>
      <w:tr w:rsidR="00BB5553" w:rsidRPr="00BB5553" w14:paraId="0914AA15" w14:textId="77777777" w:rsidTr="00CB6012">
        <w:tc>
          <w:tcPr>
            <w:tcW w:w="4508" w:type="dxa"/>
          </w:tcPr>
          <w:p w14:paraId="065858FC" w14:textId="707C2961" w:rsidR="0005097F" w:rsidRPr="00BB5553" w:rsidRDefault="0005097F" w:rsidP="003137E3">
            <w:r w:rsidRPr="00BB5553">
              <w:t>Calculate and manually adjust out total outputs that are “outside the scope” when I do the quarterly VAT return (leaving SR and ZR outputs in the Return figures). I can prove these numbers using different reports from our EPOS.</w:t>
            </w:r>
            <w:r w:rsidR="00DF17EE" w:rsidRPr="00BB5553">
              <w:t xml:space="preserve"> (slide </w:t>
            </w:r>
            <w:r w:rsidR="00FF4005" w:rsidRPr="00BB5553">
              <w:t>15)</w:t>
            </w:r>
          </w:p>
          <w:p w14:paraId="646476E5" w14:textId="77777777" w:rsidR="00E93E44" w:rsidRPr="00BB5553" w:rsidRDefault="00E93E44" w:rsidP="00954AFF">
            <w:pPr>
              <w:pStyle w:val="Default"/>
              <w:rPr>
                <w:rFonts w:asciiTheme="minorHAnsi" w:hAnsiTheme="minorHAnsi" w:cstheme="minorBidi"/>
                <w:color w:val="auto"/>
                <w:sz w:val="22"/>
                <w:szCs w:val="22"/>
              </w:rPr>
            </w:pPr>
          </w:p>
        </w:tc>
        <w:tc>
          <w:tcPr>
            <w:tcW w:w="5274" w:type="dxa"/>
          </w:tcPr>
          <w:p w14:paraId="5D8CD806" w14:textId="77777777" w:rsidR="0005097F" w:rsidRPr="00BB5553" w:rsidRDefault="0005097F" w:rsidP="003137E3">
            <w:pPr>
              <w:rPr>
                <w:i/>
              </w:rPr>
            </w:pPr>
            <w:r w:rsidRPr="00BB5553">
              <w:rPr>
                <w:i/>
              </w:rPr>
              <w:t>Yes</w:t>
            </w:r>
          </w:p>
          <w:p w14:paraId="7D322DD1" w14:textId="77777777" w:rsidR="00E93E44" w:rsidRPr="00BB5553" w:rsidRDefault="00E93E44" w:rsidP="00954AFF">
            <w:pPr>
              <w:pStyle w:val="Default"/>
              <w:rPr>
                <w:rFonts w:asciiTheme="minorHAnsi" w:hAnsiTheme="minorHAnsi" w:cstheme="minorBidi"/>
                <w:color w:val="auto"/>
                <w:sz w:val="22"/>
                <w:szCs w:val="22"/>
              </w:rPr>
            </w:pPr>
          </w:p>
        </w:tc>
      </w:tr>
      <w:tr w:rsidR="00BB5553" w:rsidRPr="00BB5553" w14:paraId="0193624D" w14:textId="77777777" w:rsidTr="00CB6012">
        <w:tc>
          <w:tcPr>
            <w:tcW w:w="4508" w:type="dxa"/>
          </w:tcPr>
          <w:p w14:paraId="671758E9" w14:textId="77777777" w:rsidR="00FF4005" w:rsidRPr="00BB5553" w:rsidRDefault="00042334" w:rsidP="003137E3">
            <w:r w:rsidRPr="00BB5553">
              <w:t>What manual adjustments are permitted?</w:t>
            </w:r>
            <w:r w:rsidR="00FF4005" w:rsidRPr="00BB5553">
              <w:t xml:space="preserve"> </w:t>
            </w:r>
          </w:p>
          <w:p w14:paraId="02F21FC0" w14:textId="426CE844" w:rsidR="00042334" w:rsidRPr="00BB5553" w:rsidRDefault="00FF4005" w:rsidP="003137E3">
            <w:r w:rsidRPr="00BB5553">
              <w:t>(slide 16)</w:t>
            </w:r>
          </w:p>
          <w:p w14:paraId="78CDA48B" w14:textId="77777777" w:rsidR="00E93E44" w:rsidRPr="00BB5553" w:rsidRDefault="00E93E44" w:rsidP="00954AFF">
            <w:pPr>
              <w:pStyle w:val="Default"/>
              <w:rPr>
                <w:rFonts w:asciiTheme="minorHAnsi" w:hAnsiTheme="minorHAnsi" w:cstheme="minorBidi"/>
                <w:color w:val="auto"/>
                <w:sz w:val="22"/>
                <w:szCs w:val="22"/>
              </w:rPr>
            </w:pPr>
          </w:p>
        </w:tc>
        <w:tc>
          <w:tcPr>
            <w:tcW w:w="5274" w:type="dxa"/>
          </w:tcPr>
          <w:p w14:paraId="651F943D" w14:textId="0A31A498" w:rsidR="00042334" w:rsidRPr="00BB5553" w:rsidRDefault="00042334" w:rsidP="003137E3">
            <w:pPr>
              <w:rPr>
                <w:i/>
              </w:rPr>
            </w:pPr>
            <w:r w:rsidRPr="00BB5553">
              <w:rPr>
                <w:i/>
              </w:rPr>
              <w:t>All adjustments</w:t>
            </w:r>
            <w:r w:rsidR="005A47F1" w:rsidRPr="00BB5553">
              <w:rPr>
                <w:i/>
              </w:rPr>
              <w:t xml:space="preserve"> are</w:t>
            </w:r>
            <w:r w:rsidRPr="00BB5553">
              <w:rPr>
                <w:i/>
              </w:rPr>
              <w:t xml:space="preserve"> allowed/required by VAT legislation i.e. partial exemptions, retail schemes, capital good schemes. </w:t>
            </w:r>
          </w:p>
          <w:p w14:paraId="042E5C30" w14:textId="77777777" w:rsidR="00E93E44" w:rsidRPr="00BB5553" w:rsidRDefault="00E93E44" w:rsidP="00954AFF">
            <w:pPr>
              <w:pStyle w:val="Default"/>
              <w:rPr>
                <w:rFonts w:asciiTheme="minorHAnsi" w:hAnsiTheme="minorHAnsi" w:cstheme="minorBidi"/>
                <w:color w:val="auto"/>
                <w:sz w:val="22"/>
                <w:szCs w:val="22"/>
              </w:rPr>
            </w:pPr>
          </w:p>
        </w:tc>
      </w:tr>
      <w:tr w:rsidR="00BB5553" w:rsidRPr="00BB5553" w14:paraId="1B4B5AB7" w14:textId="77777777" w:rsidTr="00CB6012">
        <w:tc>
          <w:tcPr>
            <w:tcW w:w="4508" w:type="dxa"/>
          </w:tcPr>
          <w:p w14:paraId="5EBC4A85" w14:textId="45F77C6B" w:rsidR="00042334" w:rsidRPr="00BB5553" w:rsidRDefault="00042334" w:rsidP="003137E3">
            <w:r w:rsidRPr="00BB5553">
              <w:t>Are partial exemption adjustments allowed?</w:t>
            </w:r>
            <w:r w:rsidR="00FF4005" w:rsidRPr="00BB5553">
              <w:t xml:space="preserve"> (slide 16)</w:t>
            </w:r>
          </w:p>
          <w:p w14:paraId="0E2ED4AE" w14:textId="77777777" w:rsidR="00E93E44" w:rsidRPr="00BB5553" w:rsidRDefault="00E93E44" w:rsidP="00954AFF">
            <w:pPr>
              <w:pStyle w:val="Default"/>
              <w:rPr>
                <w:rFonts w:asciiTheme="minorHAnsi" w:hAnsiTheme="minorHAnsi" w:cstheme="minorBidi"/>
                <w:color w:val="auto"/>
                <w:sz w:val="22"/>
                <w:szCs w:val="22"/>
              </w:rPr>
            </w:pPr>
          </w:p>
        </w:tc>
        <w:tc>
          <w:tcPr>
            <w:tcW w:w="5274" w:type="dxa"/>
          </w:tcPr>
          <w:p w14:paraId="69C7984C" w14:textId="77777777" w:rsidR="00042334" w:rsidRPr="00BB5553" w:rsidRDefault="00042334" w:rsidP="003137E3">
            <w:pPr>
              <w:rPr>
                <w:i/>
              </w:rPr>
            </w:pPr>
            <w:r w:rsidRPr="00BB5553">
              <w:rPr>
                <w:i/>
              </w:rPr>
              <w:t>Yes</w:t>
            </w:r>
          </w:p>
          <w:p w14:paraId="35A1CD3D" w14:textId="77777777" w:rsidR="00E93E44" w:rsidRPr="00BB5553" w:rsidRDefault="00E93E44" w:rsidP="00954AFF">
            <w:pPr>
              <w:pStyle w:val="Default"/>
              <w:rPr>
                <w:rFonts w:asciiTheme="minorHAnsi" w:hAnsiTheme="minorHAnsi" w:cstheme="minorBidi"/>
                <w:color w:val="auto"/>
                <w:sz w:val="22"/>
                <w:szCs w:val="22"/>
              </w:rPr>
            </w:pPr>
          </w:p>
        </w:tc>
      </w:tr>
      <w:tr w:rsidR="00BB5553" w:rsidRPr="00BB5553" w14:paraId="29810B24" w14:textId="77777777" w:rsidTr="00CB6012">
        <w:tc>
          <w:tcPr>
            <w:tcW w:w="4508" w:type="dxa"/>
          </w:tcPr>
          <w:p w14:paraId="37F09BAC" w14:textId="133E554C" w:rsidR="003137E3" w:rsidRPr="00BB5553" w:rsidRDefault="003137E3" w:rsidP="003137E3">
            <w:r w:rsidRPr="00BB5553">
              <w:t>Reverse charge question</w:t>
            </w:r>
            <w:r w:rsidR="00394B75" w:rsidRPr="00BB5553">
              <w:t xml:space="preserve"> (slide </w:t>
            </w:r>
            <w:r w:rsidR="003C1406" w:rsidRPr="00BB5553">
              <w:t>17 – 19)</w:t>
            </w:r>
          </w:p>
          <w:p w14:paraId="1473151D" w14:textId="77777777" w:rsidR="00E93E44" w:rsidRPr="00BB5553" w:rsidRDefault="00E93E44" w:rsidP="003137E3">
            <w:pPr>
              <w:ind w:left="360"/>
            </w:pPr>
          </w:p>
        </w:tc>
        <w:tc>
          <w:tcPr>
            <w:tcW w:w="5274" w:type="dxa"/>
          </w:tcPr>
          <w:p w14:paraId="3CB2D8B4" w14:textId="3E2277B6" w:rsidR="003137E3" w:rsidRPr="00BB5553" w:rsidRDefault="003137E3" w:rsidP="003137E3">
            <w:pPr>
              <w:rPr>
                <w:i/>
              </w:rPr>
            </w:pPr>
            <w:r w:rsidRPr="00BB5553">
              <w:rPr>
                <w:i/>
              </w:rPr>
              <w:t>In para 4.4 of the VAT Notice (Adjustments) Example 2 covers changes to records after a period has been closed on the system. This example clearly provides a relaxation permitting changes to be entered as an adjustment.</w:t>
            </w:r>
          </w:p>
          <w:p w14:paraId="4B575902" w14:textId="77777777" w:rsidR="00987433" w:rsidRPr="00BB5553" w:rsidRDefault="00987433" w:rsidP="003137E3">
            <w:pPr>
              <w:rPr>
                <w:i/>
              </w:rPr>
            </w:pPr>
          </w:p>
          <w:p w14:paraId="328FD1E3" w14:textId="77777777" w:rsidR="003137E3" w:rsidRPr="00BB5553" w:rsidRDefault="003137E3" w:rsidP="003137E3">
            <w:pPr>
              <w:rPr>
                <w:i/>
              </w:rPr>
            </w:pPr>
            <w:r w:rsidRPr="00BB5553">
              <w:rPr>
                <w:i/>
              </w:rPr>
              <w:lastRenderedPageBreak/>
              <w:t>In the quoted example the way information is being entered in to the functional compatible software is correct. Adjusting a record in this manner does not create an error.  We want to make clear that these will only be an error if the VAT Return was complete without making these required adjustments. Please note such adjustments must be recorded in the functional compatible software to complete the digital records.</w:t>
            </w:r>
          </w:p>
          <w:p w14:paraId="1DFDB7CE" w14:textId="77777777" w:rsidR="00E93E44" w:rsidRPr="00BB5553" w:rsidRDefault="00E93E44" w:rsidP="00954AFF">
            <w:pPr>
              <w:pStyle w:val="Default"/>
              <w:rPr>
                <w:rFonts w:asciiTheme="minorHAnsi" w:hAnsiTheme="minorHAnsi" w:cstheme="minorBidi"/>
                <w:color w:val="auto"/>
                <w:sz w:val="22"/>
                <w:szCs w:val="22"/>
              </w:rPr>
            </w:pPr>
          </w:p>
        </w:tc>
      </w:tr>
      <w:tr w:rsidR="00BB5553" w:rsidRPr="00BB5553" w14:paraId="5163E848" w14:textId="77777777" w:rsidTr="00CB6012">
        <w:tc>
          <w:tcPr>
            <w:tcW w:w="4508" w:type="dxa"/>
          </w:tcPr>
          <w:p w14:paraId="4B5B80C3" w14:textId="1D09F45F" w:rsidR="003137E3" w:rsidRPr="00BB5553" w:rsidRDefault="003137E3" w:rsidP="003137E3">
            <w:r w:rsidRPr="00BB5553">
              <w:lastRenderedPageBreak/>
              <w:t>It would be so useful to clarify the principle of a permitted level of "manual" input when bringing data across from the source system, in our case EPOS.</w:t>
            </w:r>
            <w:r w:rsidR="00D554F6" w:rsidRPr="00BB5553">
              <w:t xml:space="preserve"> (slide 20)</w:t>
            </w:r>
          </w:p>
          <w:p w14:paraId="56952B7C" w14:textId="77777777" w:rsidR="00E93E44" w:rsidRPr="00BB5553" w:rsidRDefault="00E93E44" w:rsidP="003137E3">
            <w:pPr>
              <w:ind w:left="360"/>
            </w:pPr>
          </w:p>
        </w:tc>
        <w:tc>
          <w:tcPr>
            <w:tcW w:w="5274" w:type="dxa"/>
          </w:tcPr>
          <w:p w14:paraId="5AB543D9" w14:textId="3A4C4461" w:rsidR="003137E3" w:rsidRPr="00BB5553" w:rsidRDefault="003137E3" w:rsidP="003137E3">
            <w:pPr>
              <w:rPr>
                <w:i/>
              </w:rPr>
            </w:pPr>
            <w:r w:rsidRPr="00BB5553">
              <w:rPr>
                <w:i/>
              </w:rPr>
              <w:t>MTD legislation requires data for the electronic VAT account (set out under para 4.3) to be stored in functional compatible software. A software programme is part of a set of functional compatible software if data transfers electronically between them.</w:t>
            </w:r>
          </w:p>
          <w:p w14:paraId="1AE7FFB4" w14:textId="77777777" w:rsidR="00987433" w:rsidRPr="00BB5553" w:rsidRDefault="00987433" w:rsidP="003137E3">
            <w:pPr>
              <w:rPr>
                <w:i/>
              </w:rPr>
            </w:pPr>
          </w:p>
          <w:p w14:paraId="72ADA559" w14:textId="51495449" w:rsidR="003137E3" w:rsidRPr="00BB5553" w:rsidRDefault="003137E3" w:rsidP="003137E3">
            <w:pPr>
              <w:rPr>
                <w:i/>
              </w:rPr>
            </w:pPr>
            <w:r w:rsidRPr="00BB5553">
              <w:rPr>
                <w:i/>
              </w:rPr>
              <w:t>If the source system is the only place where some of the information required in the electronic VAT account is stored, then a digital linked is required from that point to the remaining components of functional compatible software.</w:t>
            </w:r>
          </w:p>
          <w:p w14:paraId="053361B2" w14:textId="77777777" w:rsidR="00987433" w:rsidRPr="00BB5553" w:rsidRDefault="00987433" w:rsidP="003137E3">
            <w:pPr>
              <w:rPr>
                <w:i/>
              </w:rPr>
            </w:pPr>
          </w:p>
          <w:p w14:paraId="163C3413" w14:textId="1F378FBB" w:rsidR="003137E3" w:rsidRPr="00BB5553" w:rsidRDefault="003137E3" w:rsidP="003137E3">
            <w:pPr>
              <w:rPr>
                <w:i/>
              </w:rPr>
            </w:pPr>
            <w:r w:rsidRPr="00BB5553">
              <w:rPr>
                <w:i/>
              </w:rPr>
              <w:t xml:space="preserve">If the EPOS system is the only place that stores the data for individual </w:t>
            </w:r>
            <w:proofErr w:type="gramStart"/>
            <w:r w:rsidRPr="00BB5553">
              <w:rPr>
                <w:i/>
              </w:rPr>
              <w:t>sales</w:t>
            </w:r>
            <w:proofErr w:type="gramEnd"/>
            <w:r w:rsidRPr="00BB5553">
              <w:rPr>
                <w:i/>
              </w:rPr>
              <w:t xml:space="preserve"> but the daily gross takings are stored in the accounting software then a digital link is not required. The daily gross figures can input manually or electronically from the EPOS system.</w:t>
            </w:r>
          </w:p>
          <w:p w14:paraId="3191B6E7" w14:textId="77777777" w:rsidR="00987433" w:rsidRPr="00BB5553" w:rsidRDefault="00987433" w:rsidP="003137E3">
            <w:pPr>
              <w:rPr>
                <w:i/>
              </w:rPr>
            </w:pPr>
          </w:p>
          <w:p w14:paraId="22867057" w14:textId="77777777" w:rsidR="003137E3" w:rsidRPr="00BB5553" w:rsidRDefault="003137E3" w:rsidP="003137E3">
            <w:pPr>
              <w:rPr>
                <w:i/>
              </w:rPr>
            </w:pPr>
            <w:r w:rsidRPr="00BB5553">
              <w:rPr>
                <w:i/>
              </w:rPr>
              <w:t xml:space="preserve">If the daily gross takings are not entered </w:t>
            </w:r>
            <w:proofErr w:type="gramStart"/>
            <w:r w:rsidRPr="00BB5553">
              <w:rPr>
                <w:i/>
              </w:rPr>
              <w:t>in to</w:t>
            </w:r>
            <w:proofErr w:type="gramEnd"/>
            <w:r w:rsidRPr="00BB5553">
              <w:rPr>
                <w:i/>
              </w:rPr>
              <w:t xml:space="preserve"> the accounting software then the figures from the EPOS system must be transferred digitally (using digital links).</w:t>
            </w:r>
          </w:p>
          <w:p w14:paraId="33B211DC" w14:textId="77777777" w:rsidR="00E93E44" w:rsidRPr="00BB5553" w:rsidRDefault="00E93E44" w:rsidP="00954AFF">
            <w:pPr>
              <w:pStyle w:val="Default"/>
              <w:rPr>
                <w:rFonts w:asciiTheme="minorHAnsi" w:hAnsiTheme="minorHAnsi" w:cstheme="minorBidi"/>
                <w:color w:val="auto"/>
                <w:sz w:val="22"/>
                <w:szCs w:val="22"/>
              </w:rPr>
            </w:pPr>
          </w:p>
        </w:tc>
      </w:tr>
      <w:tr w:rsidR="00BB5553" w:rsidRPr="00BB5553" w14:paraId="4D749094" w14:textId="77777777" w:rsidTr="00CB6012">
        <w:tc>
          <w:tcPr>
            <w:tcW w:w="4508" w:type="dxa"/>
          </w:tcPr>
          <w:p w14:paraId="00D2F750" w14:textId="6E4C9878" w:rsidR="00E93E44" w:rsidRPr="00BB5553" w:rsidRDefault="003E2E0D" w:rsidP="003E2E0D">
            <w:r w:rsidRPr="00BB5553">
              <w:t>HMRC officials have said that manually typing into a spreadsheet and then uploading digitally was ok, but this seems to be against the spirit of MTD and is not how the VAT notice appears to read – can you clarify?</w:t>
            </w:r>
            <w:r w:rsidR="00D554F6" w:rsidRPr="00BB5553">
              <w:t xml:space="preserve"> </w:t>
            </w:r>
            <w:r w:rsidR="00052BF3" w:rsidRPr="00BB5553">
              <w:t>(slide 20)</w:t>
            </w:r>
          </w:p>
        </w:tc>
        <w:tc>
          <w:tcPr>
            <w:tcW w:w="5274" w:type="dxa"/>
          </w:tcPr>
          <w:p w14:paraId="7C6E234B" w14:textId="77777777" w:rsidR="003E2E0D" w:rsidRPr="00BB5553" w:rsidRDefault="003E2E0D" w:rsidP="003E2E0D">
            <w:pPr>
              <w:rPr>
                <w:i/>
              </w:rPr>
            </w:pPr>
            <w:r w:rsidRPr="00BB5553">
              <w:rPr>
                <w:i/>
              </w:rPr>
              <w:t>The legal requirement is that electronic VAT account must be stored in functional compatible software. We insist there is a digital link between functional compatible software components. We don’t have set requirements of how data is inputted in to functional compatible software. We would encourage customers to use a digital links, even where it’s not required, to reduce the risk of error and help increase productivity.</w:t>
            </w:r>
          </w:p>
          <w:p w14:paraId="386673C8" w14:textId="77777777" w:rsidR="00E93E44" w:rsidRPr="00BB5553" w:rsidRDefault="00E93E44" w:rsidP="00954AFF">
            <w:pPr>
              <w:pStyle w:val="Default"/>
              <w:rPr>
                <w:rFonts w:asciiTheme="minorHAnsi" w:hAnsiTheme="minorHAnsi" w:cstheme="minorBidi"/>
                <w:color w:val="auto"/>
                <w:sz w:val="22"/>
                <w:szCs w:val="22"/>
              </w:rPr>
            </w:pPr>
          </w:p>
        </w:tc>
      </w:tr>
      <w:tr w:rsidR="00BB5553" w:rsidRPr="00BB5553" w14:paraId="48A87439" w14:textId="77777777" w:rsidTr="00CB6012">
        <w:tc>
          <w:tcPr>
            <w:tcW w:w="4508" w:type="dxa"/>
          </w:tcPr>
          <w:p w14:paraId="0957FBB2" w14:textId="167CD10D" w:rsidR="00E5000C" w:rsidRPr="00BB5553" w:rsidRDefault="00E5000C" w:rsidP="00E5000C">
            <w:pPr>
              <w:pStyle w:val="Default"/>
              <w:rPr>
                <w:rFonts w:asciiTheme="minorHAnsi" w:hAnsiTheme="minorHAnsi" w:cstheme="minorBidi"/>
                <w:color w:val="auto"/>
                <w:sz w:val="22"/>
                <w:szCs w:val="22"/>
              </w:rPr>
            </w:pPr>
            <w:r w:rsidRPr="00BB5553">
              <w:rPr>
                <w:rFonts w:asciiTheme="minorHAnsi" w:hAnsiTheme="minorHAnsi" w:cstheme="minorBidi"/>
                <w:color w:val="auto"/>
                <w:sz w:val="22"/>
                <w:szCs w:val="22"/>
              </w:rPr>
              <w:t>I’m sure lots of organisations regularly post manual journals into their accounting systems.</w:t>
            </w:r>
          </w:p>
          <w:p w14:paraId="4D6CAFE5" w14:textId="77777777" w:rsidR="001B3936" w:rsidRPr="00BB5553" w:rsidRDefault="001B3936" w:rsidP="00E5000C">
            <w:pPr>
              <w:pStyle w:val="Default"/>
              <w:rPr>
                <w:rFonts w:asciiTheme="minorHAnsi" w:hAnsiTheme="minorHAnsi" w:cstheme="minorBidi"/>
                <w:color w:val="auto"/>
                <w:sz w:val="22"/>
                <w:szCs w:val="22"/>
              </w:rPr>
            </w:pPr>
          </w:p>
          <w:p w14:paraId="5280F141" w14:textId="77777777" w:rsidR="001B3936" w:rsidRPr="00BB5553" w:rsidRDefault="00E5000C" w:rsidP="00E5000C">
            <w:pPr>
              <w:pStyle w:val="Default"/>
              <w:rPr>
                <w:rFonts w:asciiTheme="minorHAnsi" w:hAnsiTheme="minorHAnsi" w:cstheme="minorBidi"/>
                <w:color w:val="auto"/>
                <w:sz w:val="22"/>
                <w:szCs w:val="22"/>
              </w:rPr>
            </w:pPr>
            <w:r w:rsidRPr="00BB5553">
              <w:rPr>
                <w:rFonts w:asciiTheme="minorHAnsi" w:hAnsiTheme="minorHAnsi" w:cstheme="minorBidi"/>
                <w:color w:val="auto"/>
                <w:sz w:val="22"/>
                <w:szCs w:val="22"/>
              </w:rPr>
              <w:t>We have a small number of petty cash adjustments that I do as an adjusting entry in the finance system and would like to clarify if that is acceptable. This is done on a quarterly basis rather than posting all petty cash vouchers in this way.</w:t>
            </w:r>
          </w:p>
          <w:p w14:paraId="17A1C864" w14:textId="77777777" w:rsidR="001B3936" w:rsidRPr="00BB5553" w:rsidRDefault="001B3936" w:rsidP="00E5000C">
            <w:pPr>
              <w:pStyle w:val="Default"/>
              <w:rPr>
                <w:rFonts w:asciiTheme="minorHAnsi" w:hAnsiTheme="minorHAnsi" w:cstheme="minorBidi"/>
                <w:color w:val="auto"/>
                <w:sz w:val="22"/>
                <w:szCs w:val="22"/>
              </w:rPr>
            </w:pPr>
          </w:p>
          <w:p w14:paraId="0F5F8BB3" w14:textId="6865A640" w:rsidR="00E5000C" w:rsidRPr="00BB5553" w:rsidRDefault="00E5000C" w:rsidP="00E5000C">
            <w:pPr>
              <w:pStyle w:val="Default"/>
              <w:rPr>
                <w:rFonts w:asciiTheme="minorHAnsi" w:hAnsiTheme="minorHAnsi" w:cstheme="minorBidi"/>
                <w:color w:val="auto"/>
                <w:sz w:val="22"/>
                <w:szCs w:val="22"/>
              </w:rPr>
            </w:pPr>
            <w:r w:rsidRPr="00BB5553">
              <w:rPr>
                <w:rFonts w:asciiTheme="minorHAnsi" w:hAnsiTheme="minorHAnsi" w:cstheme="minorBidi"/>
                <w:color w:val="auto"/>
                <w:sz w:val="22"/>
                <w:szCs w:val="22"/>
              </w:rPr>
              <w:t>How can these be compliant from a digital journey/digital links perspective, where these transactions are brought into the VAT return?</w:t>
            </w:r>
            <w:r w:rsidR="00EB2112" w:rsidRPr="00BB5553">
              <w:rPr>
                <w:rFonts w:asciiTheme="minorHAnsi" w:hAnsiTheme="minorHAnsi" w:cstheme="minorBidi"/>
                <w:color w:val="auto"/>
                <w:sz w:val="22"/>
                <w:szCs w:val="22"/>
              </w:rPr>
              <w:t xml:space="preserve"> (slide 21)</w:t>
            </w:r>
          </w:p>
          <w:p w14:paraId="0BDB69AA" w14:textId="77777777" w:rsidR="00E93E44" w:rsidRPr="00BB5553" w:rsidRDefault="00E93E44" w:rsidP="00954AFF">
            <w:pPr>
              <w:pStyle w:val="Default"/>
              <w:rPr>
                <w:rFonts w:asciiTheme="minorHAnsi" w:hAnsiTheme="minorHAnsi" w:cstheme="minorBidi"/>
                <w:color w:val="auto"/>
                <w:sz w:val="22"/>
                <w:szCs w:val="22"/>
              </w:rPr>
            </w:pPr>
          </w:p>
        </w:tc>
        <w:tc>
          <w:tcPr>
            <w:tcW w:w="5274" w:type="dxa"/>
          </w:tcPr>
          <w:p w14:paraId="222DAA11" w14:textId="25B20A92" w:rsidR="007F2733" w:rsidRPr="00BB5553" w:rsidRDefault="0016005E" w:rsidP="00954AFF">
            <w:pPr>
              <w:pStyle w:val="Default"/>
              <w:rPr>
                <w:rFonts w:asciiTheme="minorHAnsi" w:hAnsiTheme="minorHAnsi" w:cstheme="minorBidi"/>
                <w:i/>
                <w:color w:val="auto"/>
                <w:sz w:val="22"/>
                <w:szCs w:val="22"/>
              </w:rPr>
            </w:pPr>
            <w:r w:rsidRPr="00BB5553">
              <w:rPr>
                <w:rFonts w:asciiTheme="minorHAnsi" w:hAnsiTheme="minorHAnsi" w:cstheme="minorBidi"/>
                <w:i/>
                <w:color w:val="auto"/>
                <w:sz w:val="22"/>
                <w:szCs w:val="22"/>
              </w:rPr>
              <w:lastRenderedPageBreak/>
              <w:t>For MTD VAT purposes p</w:t>
            </w:r>
            <w:r w:rsidR="007F2733" w:rsidRPr="00BB5553">
              <w:rPr>
                <w:rFonts w:asciiTheme="minorHAnsi" w:hAnsiTheme="minorHAnsi" w:cstheme="minorBidi"/>
                <w:i/>
                <w:color w:val="auto"/>
                <w:sz w:val="22"/>
                <w:szCs w:val="22"/>
              </w:rPr>
              <w:t>etty cash do</w:t>
            </w:r>
            <w:r w:rsidRPr="00BB5553">
              <w:rPr>
                <w:rFonts w:asciiTheme="minorHAnsi" w:hAnsiTheme="minorHAnsi" w:cstheme="minorBidi"/>
                <w:i/>
                <w:color w:val="auto"/>
                <w:sz w:val="22"/>
                <w:szCs w:val="22"/>
              </w:rPr>
              <w:t>es</w:t>
            </w:r>
            <w:r w:rsidR="007F2733" w:rsidRPr="00BB5553">
              <w:rPr>
                <w:rFonts w:asciiTheme="minorHAnsi" w:hAnsiTheme="minorHAnsi" w:cstheme="minorBidi"/>
                <w:i/>
                <w:color w:val="auto"/>
                <w:sz w:val="22"/>
                <w:szCs w:val="22"/>
              </w:rPr>
              <w:t xml:space="preserve"> not need to be individually recorded in the digital records. The business can record the total value and the total input tax allowable. This applies to individual purchases with a VAT-inclusive value below £50 and the total value of petty cash transactions recorded in this way cannot exceed a VAT-inclusive value of £500 per entry.</w:t>
            </w:r>
          </w:p>
          <w:p w14:paraId="7B7167CF" w14:textId="4CE2100A" w:rsidR="007F2733" w:rsidRPr="00BB5553" w:rsidRDefault="007F2733" w:rsidP="00954AFF">
            <w:pPr>
              <w:pStyle w:val="Default"/>
              <w:rPr>
                <w:rFonts w:asciiTheme="minorHAnsi" w:hAnsiTheme="minorHAnsi" w:cstheme="minorBidi"/>
                <w:color w:val="auto"/>
                <w:sz w:val="22"/>
                <w:szCs w:val="22"/>
              </w:rPr>
            </w:pPr>
            <w:r w:rsidRPr="00BB5553">
              <w:rPr>
                <w:rFonts w:asciiTheme="minorHAnsi" w:hAnsiTheme="minorHAnsi" w:cstheme="minorBidi"/>
                <w:i/>
                <w:color w:val="auto"/>
                <w:sz w:val="22"/>
                <w:szCs w:val="22"/>
              </w:rPr>
              <w:t>This is set out in the VAT Notice 700/22 para 4.3.3.2.</w:t>
            </w:r>
          </w:p>
        </w:tc>
      </w:tr>
      <w:tr w:rsidR="00BB5553" w:rsidRPr="00BB5553" w14:paraId="56EDB3BC" w14:textId="77777777" w:rsidTr="00CB6012">
        <w:tc>
          <w:tcPr>
            <w:tcW w:w="4508" w:type="dxa"/>
            <w:tcBorders>
              <w:bottom w:val="single" w:sz="4" w:space="0" w:color="auto"/>
            </w:tcBorders>
          </w:tcPr>
          <w:p w14:paraId="730D083D" w14:textId="0FBF050F" w:rsidR="00E5000C" w:rsidRPr="00BB5553" w:rsidRDefault="00E5000C" w:rsidP="00E5000C">
            <w:r w:rsidRPr="00BB5553">
              <w:t>Is HMRC expecting organisations to no longer use manual journals?</w:t>
            </w:r>
            <w:r w:rsidR="00D13A3A" w:rsidRPr="00BB5553">
              <w:t xml:space="preserve"> (slide 21)</w:t>
            </w:r>
          </w:p>
          <w:p w14:paraId="017F8AA6" w14:textId="77777777" w:rsidR="00E93E44" w:rsidRPr="00BB5553" w:rsidRDefault="00E93E44" w:rsidP="00E5000C">
            <w:pPr>
              <w:pStyle w:val="Default"/>
              <w:rPr>
                <w:rFonts w:asciiTheme="minorHAnsi" w:hAnsiTheme="minorHAnsi" w:cstheme="minorBidi"/>
                <w:color w:val="auto"/>
                <w:sz w:val="22"/>
                <w:szCs w:val="22"/>
              </w:rPr>
            </w:pPr>
          </w:p>
        </w:tc>
        <w:tc>
          <w:tcPr>
            <w:tcW w:w="5274" w:type="dxa"/>
            <w:tcBorders>
              <w:bottom w:val="single" w:sz="4" w:space="0" w:color="auto"/>
            </w:tcBorders>
          </w:tcPr>
          <w:p w14:paraId="63580C94" w14:textId="77777777" w:rsidR="00E93E44" w:rsidRPr="00BB5553" w:rsidRDefault="00782093" w:rsidP="00954AFF">
            <w:pPr>
              <w:pStyle w:val="Default"/>
              <w:rPr>
                <w:rFonts w:asciiTheme="minorHAnsi" w:hAnsiTheme="minorHAnsi" w:cstheme="minorBidi"/>
                <w:i/>
                <w:color w:val="auto"/>
                <w:sz w:val="22"/>
                <w:szCs w:val="22"/>
              </w:rPr>
            </w:pPr>
            <w:r w:rsidRPr="00BB5553">
              <w:rPr>
                <w:rFonts w:asciiTheme="minorHAnsi" w:hAnsiTheme="minorHAnsi" w:cstheme="minorBidi"/>
                <w:i/>
                <w:color w:val="auto"/>
                <w:sz w:val="22"/>
                <w:szCs w:val="22"/>
              </w:rPr>
              <w:t>HMRC expects the use of manual journals to decrease following the advent of digital journeys required under MTD. However, we do not expect</w:t>
            </w:r>
            <w:r w:rsidR="00020ED2" w:rsidRPr="00BB5553">
              <w:rPr>
                <w:rFonts w:asciiTheme="minorHAnsi" w:hAnsiTheme="minorHAnsi" w:cstheme="minorBidi"/>
                <w:i/>
                <w:color w:val="auto"/>
                <w:sz w:val="22"/>
                <w:szCs w:val="22"/>
              </w:rPr>
              <w:t xml:space="preserve"> </w:t>
            </w:r>
            <w:r w:rsidR="00561855" w:rsidRPr="00BB5553">
              <w:rPr>
                <w:rFonts w:asciiTheme="minorHAnsi" w:hAnsiTheme="minorHAnsi" w:cstheme="minorBidi"/>
                <w:i/>
                <w:color w:val="auto"/>
                <w:sz w:val="22"/>
                <w:szCs w:val="22"/>
              </w:rPr>
              <w:t xml:space="preserve">the use of </w:t>
            </w:r>
            <w:r w:rsidR="00020ED2" w:rsidRPr="00BB5553">
              <w:rPr>
                <w:rFonts w:asciiTheme="minorHAnsi" w:hAnsiTheme="minorHAnsi" w:cstheme="minorBidi"/>
                <w:i/>
                <w:color w:val="auto"/>
                <w:sz w:val="22"/>
                <w:szCs w:val="22"/>
              </w:rPr>
              <w:t>manual journals to</w:t>
            </w:r>
            <w:r w:rsidR="00561855" w:rsidRPr="00BB5553">
              <w:rPr>
                <w:rFonts w:asciiTheme="minorHAnsi" w:hAnsiTheme="minorHAnsi" w:cstheme="minorBidi"/>
                <w:i/>
                <w:color w:val="auto"/>
                <w:sz w:val="22"/>
                <w:szCs w:val="22"/>
              </w:rPr>
              <w:t xml:space="preserve"> cease completely as they will still be used for </w:t>
            </w:r>
            <w:r w:rsidR="002A6DB4" w:rsidRPr="00BB5553">
              <w:rPr>
                <w:rFonts w:asciiTheme="minorHAnsi" w:hAnsiTheme="minorHAnsi" w:cstheme="minorBidi"/>
                <w:i/>
                <w:color w:val="auto"/>
                <w:sz w:val="22"/>
                <w:szCs w:val="22"/>
              </w:rPr>
              <w:t xml:space="preserve">things such as </w:t>
            </w:r>
            <w:r w:rsidR="00561855" w:rsidRPr="00BB5553">
              <w:rPr>
                <w:rFonts w:asciiTheme="minorHAnsi" w:hAnsiTheme="minorHAnsi" w:cstheme="minorBidi"/>
                <w:i/>
                <w:color w:val="auto"/>
                <w:sz w:val="22"/>
                <w:szCs w:val="22"/>
              </w:rPr>
              <w:t>manual adjustments and petty cash.</w:t>
            </w:r>
          </w:p>
          <w:p w14:paraId="14F6B0EA" w14:textId="362C7A2E" w:rsidR="00750BE9" w:rsidRPr="00BB5553" w:rsidRDefault="00750BE9" w:rsidP="00954AFF">
            <w:pPr>
              <w:pStyle w:val="Default"/>
              <w:rPr>
                <w:rFonts w:asciiTheme="minorHAnsi" w:hAnsiTheme="minorHAnsi" w:cstheme="minorBidi"/>
                <w:i/>
                <w:color w:val="auto"/>
                <w:sz w:val="22"/>
                <w:szCs w:val="22"/>
              </w:rPr>
            </w:pPr>
          </w:p>
        </w:tc>
      </w:tr>
      <w:tr w:rsidR="00BB5553" w:rsidRPr="00BB5553" w14:paraId="48410B3D" w14:textId="77777777" w:rsidTr="00CB6012">
        <w:trPr>
          <w:trHeight w:val="6103"/>
        </w:trPr>
        <w:tc>
          <w:tcPr>
            <w:tcW w:w="4508" w:type="dxa"/>
            <w:tcBorders>
              <w:top w:val="single" w:sz="4" w:space="0" w:color="auto"/>
              <w:left w:val="single" w:sz="4" w:space="0" w:color="auto"/>
              <w:right w:val="single" w:sz="4" w:space="0" w:color="auto"/>
            </w:tcBorders>
          </w:tcPr>
          <w:p w14:paraId="04CE36FA" w14:textId="77777777" w:rsidR="00987433" w:rsidRPr="00BB5553" w:rsidRDefault="00987433" w:rsidP="002A649F">
            <w:pPr>
              <w:pStyle w:val="Default"/>
              <w:rPr>
                <w:rFonts w:asciiTheme="minorHAnsi" w:hAnsiTheme="minorHAnsi" w:cstheme="minorBidi"/>
                <w:color w:val="auto"/>
                <w:sz w:val="22"/>
                <w:szCs w:val="22"/>
              </w:rPr>
            </w:pPr>
            <w:r w:rsidRPr="00BB5553">
              <w:rPr>
                <w:rFonts w:asciiTheme="minorHAnsi" w:hAnsiTheme="minorHAnsi" w:cstheme="minorBidi"/>
                <w:color w:val="auto"/>
                <w:sz w:val="22"/>
                <w:szCs w:val="22"/>
              </w:rPr>
              <w:t xml:space="preserve">“Sometimes we get sent self-billing invoices from our customers for royalties, where they send us a VAT invoice and the </w:t>
            </w:r>
            <w:proofErr w:type="gramStart"/>
            <w:r w:rsidRPr="00BB5553">
              <w:rPr>
                <w:rFonts w:asciiTheme="minorHAnsi" w:hAnsiTheme="minorHAnsi" w:cstheme="minorBidi"/>
                <w:color w:val="auto"/>
                <w:sz w:val="22"/>
                <w:szCs w:val="22"/>
              </w:rPr>
              <w:t>cash</w:t>
            </w:r>
            <w:proofErr w:type="gramEnd"/>
            <w:r w:rsidRPr="00BB5553">
              <w:rPr>
                <w:rFonts w:asciiTheme="minorHAnsi" w:hAnsiTheme="minorHAnsi" w:cstheme="minorBidi"/>
                <w:color w:val="auto"/>
                <w:sz w:val="22"/>
                <w:szCs w:val="22"/>
              </w:rPr>
              <w:t xml:space="preserve"> they owe us, including the output VAT. A management accountant will post a journal in our accounting software, which will include the value of the income and the value of the output VAT due to HMRC. </w:t>
            </w:r>
          </w:p>
          <w:p w14:paraId="57AB7F12" w14:textId="77777777" w:rsidR="00987433" w:rsidRPr="00BB5553" w:rsidRDefault="00987433" w:rsidP="00E5000C">
            <w:pPr>
              <w:pStyle w:val="Default"/>
              <w:rPr>
                <w:rFonts w:asciiTheme="minorHAnsi" w:hAnsiTheme="minorHAnsi" w:cstheme="minorBidi"/>
                <w:color w:val="auto"/>
                <w:sz w:val="22"/>
                <w:szCs w:val="22"/>
              </w:rPr>
            </w:pPr>
          </w:p>
          <w:p w14:paraId="02AC3081" w14:textId="5B104BAD" w:rsidR="00987433" w:rsidRPr="00BB5553" w:rsidRDefault="00987433" w:rsidP="0064111B">
            <w:pPr>
              <w:pStyle w:val="Default"/>
              <w:rPr>
                <w:rFonts w:asciiTheme="minorHAnsi" w:hAnsiTheme="minorHAnsi" w:cstheme="minorBidi"/>
                <w:color w:val="auto"/>
                <w:sz w:val="22"/>
                <w:szCs w:val="22"/>
              </w:rPr>
            </w:pPr>
            <w:r w:rsidRPr="00BB5553">
              <w:rPr>
                <w:rFonts w:asciiTheme="minorHAnsi" w:hAnsiTheme="minorHAnsi" w:cstheme="minorBidi"/>
                <w:color w:val="auto"/>
                <w:sz w:val="22"/>
                <w:szCs w:val="22"/>
              </w:rPr>
              <w:t xml:space="preserve">Can you confirm that entering a journal into the accounting system to record our </w:t>
            </w:r>
            <w:proofErr w:type="spellStart"/>
            <w:r w:rsidRPr="00BB5553">
              <w:rPr>
                <w:rFonts w:asciiTheme="minorHAnsi" w:hAnsiTheme="minorHAnsi" w:cstheme="minorBidi"/>
                <w:color w:val="auto"/>
                <w:sz w:val="22"/>
                <w:szCs w:val="22"/>
              </w:rPr>
              <w:t>VATable</w:t>
            </w:r>
            <w:proofErr w:type="spellEnd"/>
            <w:r w:rsidRPr="00BB5553">
              <w:rPr>
                <w:rFonts w:asciiTheme="minorHAnsi" w:hAnsiTheme="minorHAnsi" w:cstheme="minorBidi"/>
                <w:color w:val="auto"/>
                <w:sz w:val="22"/>
                <w:szCs w:val="22"/>
              </w:rPr>
              <w:t xml:space="preserve"> sales is ok under MTD? (slide 22)</w:t>
            </w:r>
          </w:p>
          <w:p w14:paraId="37A29360" w14:textId="77777777" w:rsidR="00987433" w:rsidRPr="00BB5553" w:rsidRDefault="00987433" w:rsidP="0064111B">
            <w:pPr>
              <w:pStyle w:val="Default"/>
              <w:rPr>
                <w:rFonts w:asciiTheme="minorHAnsi" w:hAnsiTheme="minorHAnsi" w:cstheme="minorBidi"/>
                <w:color w:val="auto"/>
                <w:sz w:val="22"/>
                <w:szCs w:val="22"/>
              </w:rPr>
            </w:pPr>
          </w:p>
          <w:p w14:paraId="22CD8108" w14:textId="77777777" w:rsidR="00987433" w:rsidRPr="00BB5553" w:rsidRDefault="00987433" w:rsidP="00E5000C">
            <w:pPr>
              <w:pStyle w:val="Default"/>
              <w:rPr>
                <w:rFonts w:asciiTheme="minorHAnsi" w:hAnsiTheme="minorHAnsi" w:cstheme="minorBidi"/>
                <w:color w:val="auto"/>
                <w:sz w:val="22"/>
                <w:szCs w:val="22"/>
              </w:rPr>
            </w:pPr>
            <w:r w:rsidRPr="00BB5553">
              <w:rPr>
                <w:rFonts w:asciiTheme="minorHAnsi" w:hAnsiTheme="minorHAnsi" w:cstheme="minorBidi"/>
                <w:color w:val="auto"/>
                <w:sz w:val="22"/>
                <w:szCs w:val="22"/>
              </w:rPr>
              <w:t>“And if, during the VAT return preparation process, it was found that the accountant had posted the journal incorrectly.</w:t>
            </w:r>
          </w:p>
          <w:p w14:paraId="40DBE447" w14:textId="77777777" w:rsidR="00987433" w:rsidRPr="00BB5553" w:rsidRDefault="00987433" w:rsidP="00E5000C">
            <w:pPr>
              <w:pStyle w:val="Default"/>
              <w:rPr>
                <w:rFonts w:asciiTheme="minorHAnsi" w:hAnsiTheme="minorHAnsi" w:cstheme="minorBidi"/>
                <w:color w:val="auto"/>
                <w:sz w:val="22"/>
                <w:szCs w:val="22"/>
              </w:rPr>
            </w:pPr>
          </w:p>
          <w:p w14:paraId="4ED15680" w14:textId="77777777" w:rsidR="00987433" w:rsidRPr="00BB5553" w:rsidRDefault="00987433" w:rsidP="00E5000C">
            <w:pPr>
              <w:pStyle w:val="Default"/>
              <w:rPr>
                <w:rFonts w:asciiTheme="minorHAnsi" w:hAnsiTheme="minorHAnsi" w:cstheme="minorBidi"/>
                <w:color w:val="auto"/>
                <w:sz w:val="22"/>
                <w:szCs w:val="22"/>
              </w:rPr>
            </w:pPr>
            <w:r w:rsidRPr="00BB5553">
              <w:rPr>
                <w:rFonts w:asciiTheme="minorHAnsi" w:hAnsiTheme="minorHAnsi" w:cstheme="minorBidi"/>
                <w:color w:val="auto"/>
                <w:sz w:val="22"/>
                <w:szCs w:val="22"/>
              </w:rPr>
              <w:t>Can you confirm it would be ok to treat this error as an ‘adjustment’ and correct it in our VAT return spreadsheet (which forms part of our functional compatible software)? (slide 22)</w:t>
            </w:r>
          </w:p>
          <w:p w14:paraId="4F610C9C" w14:textId="48D2E26A" w:rsidR="00987433" w:rsidRPr="00BB5553" w:rsidRDefault="00987433" w:rsidP="00954AFF">
            <w:pPr>
              <w:pStyle w:val="Default"/>
              <w:rPr>
                <w:rFonts w:asciiTheme="minorHAnsi" w:hAnsiTheme="minorHAnsi" w:cstheme="minorBidi"/>
                <w:color w:val="auto"/>
                <w:sz w:val="22"/>
                <w:szCs w:val="22"/>
              </w:rPr>
            </w:pPr>
          </w:p>
        </w:tc>
        <w:tc>
          <w:tcPr>
            <w:tcW w:w="5274" w:type="dxa"/>
            <w:tcBorders>
              <w:top w:val="single" w:sz="4" w:space="0" w:color="auto"/>
              <w:left w:val="single" w:sz="4" w:space="0" w:color="auto"/>
              <w:bottom w:val="single" w:sz="4" w:space="0" w:color="auto"/>
              <w:right w:val="single" w:sz="4" w:space="0" w:color="auto"/>
            </w:tcBorders>
          </w:tcPr>
          <w:p w14:paraId="6C6CA797" w14:textId="0F7A71C9" w:rsidR="00987433" w:rsidRPr="00BB5553" w:rsidRDefault="00987433" w:rsidP="00954AFF">
            <w:pPr>
              <w:pStyle w:val="Default"/>
              <w:rPr>
                <w:rFonts w:asciiTheme="minorHAnsi" w:hAnsiTheme="minorHAnsi" w:cstheme="minorBidi"/>
                <w:i/>
                <w:color w:val="auto"/>
                <w:sz w:val="22"/>
                <w:szCs w:val="22"/>
              </w:rPr>
            </w:pPr>
            <w:r w:rsidRPr="00BB5553">
              <w:rPr>
                <w:rFonts w:asciiTheme="minorHAnsi" w:hAnsiTheme="minorHAnsi" w:cstheme="minorBidi"/>
                <w:i/>
                <w:color w:val="auto"/>
                <w:sz w:val="22"/>
                <w:szCs w:val="22"/>
              </w:rPr>
              <w:t>Yes, provided all the information required under para 4.3.2 is recorded.</w:t>
            </w:r>
          </w:p>
          <w:p w14:paraId="676BEE67" w14:textId="77777777" w:rsidR="00987433" w:rsidRPr="00BB5553" w:rsidRDefault="00987433" w:rsidP="00954AFF">
            <w:pPr>
              <w:pStyle w:val="Default"/>
              <w:rPr>
                <w:rFonts w:asciiTheme="minorHAnsi" w:hAnsiTheme="minorHAnsi" w:cstheme="minorBidi"/>
                <w:i/>
                <w:color w:val="auto"/>
                <w:sz w:val="22"/>
                <w:szCs w:val="22"/>
              </w:rPr>
            </w:pPr>
          </w:p>
          <w:p w14:paraId="1F662B64" w14:textId="77777777" w:rsidR="00987433" w:rsidRPr="00BB5553" w:rsidRDefault="00987433" w:rsidP="00954AFF">
            <w:pPr>
              <w:pStyle w:val="Default"/>
              <w:rPr>
                <w:rFonts w:asciiTheme="minorHAnsi" w:hAnsiTheme="minorHAnsi" w:cstheme="minorBidi"/>
                <w:i/>
                <w:color w:val="auto"/>
                <w:sz w:val="22"/>
                <w:szCs w:val="22"/>
              </w:rPr>
            </w:pPr>
            <w:r w:rsidRPr="00BB5553">
              <w:rPr>
                <w:rFonts w:asciiTheme="minorHAnsi" w:hAnsiTheme="minorHAnsi" w:cstheme="minorBidi"/>
                <w:i/>
                <w:color w:val="auto"/>
                <w:sz w:val="22"/>
                <w:szCs w:val="22"/>
              </w:rPr>
              <w:t xml:space="preserve">If any error is found in the Return perpetration </w:t>
            </w:r>
            <w:proofErr w:type="gramStart"/>
            <w:r w:rsidRPr="00BB5553">
              <w:rPr>
                <w:rFonts w:asciiTheme="minorHAnsi" w:hAnsiTheme="minorHAnsi" w:cstheme="minorBidi"/>
                <w:i/>
                <w:color w:val="auto"/>
                <w:sz w:val="22"/>
                <w:szCs w:val="22"/>
              </w:rPr>
              <w:t>process</w:t>
            </w:r>
            <w:proofErr w:type="gramEnd"/>
            <w:r w:rsidRPr="00BB5553">
              <w:rPr>
                <w:rFonts w:asciiTheme="minorHAnsi" w:hAnsiTheme="minorHAnsi" w:cstheme="minorBidi"/>
                <w:i/>
                <w:color w:val="auto"/>
                <w:sz w:val="22"/>
                <w:szCs w:val="22"/>
              </w:rPr>
              <w:t xml:space="preserve"> then this can be corrected using an adjustment if it is not reasonably practicable to adjust the original record and have it flow through to the VAT Return. </w:t>
            </w:r>
          </w:p>
          <w:p w14:paraId="592DAC8A" w14:textId="0A24005A" w:rsidR="00987433" w:rsidRPr="00BB5553" w:rsidRDefault="00987433" w:rsidP="00954AFF">
            <w:pPr>
              <w:pStyle w:val="Default"/>
              <w:rPr>
                <w:rFonts w:asciiTheme="minorHAnsi" w:hAnsiTheme="minorHAnsi" w:cstheme="minorBidi"/>
                <w:color w:val="auto"/>
                <w:sz w:val="22"/>
                <w:szCs w:val="22"/>
              </w:rPr>
            </w:pPr>
          </w:p>
        </w:tc>
      </w:tr>
      <w:tr w:rsidR="00BB5553" w:rsidRPr="00BB5553" w14:paraId="7DE439AB" w14:textId="77777777" w:rsidTr="00CB6012">
        <w:trPr>
          <w:trHeight w:val="3775"/>
        </w:trPr>
        <w:tc>
          <w:tcPr>
            <w:tcW w:w="4508" w:type="dxa"/>
            <w:tcBorders>
              <w:top w:val="single" w:sz="4" w:space="0" w:color="auto"/>
              <w:left w:val="single" w:sz="4" w:space="0" w:color="auto"/>
              <w:bottom w:val="nil"/>
              <w:right w:val="single" w:sz="4" w:space="0" w:color="auto"/>
            </w:tcBorders>
          </w:tcPr>
          <w:p w14:paraId="4043B7ED" w14:textId="77777777" w:rsidR="00987433" w:rsidRPr="00BB5553" w:rsidRDefault="00987433" w:rsidP="00BF6444">
            <w:pPr>
              <w:pStyle w:val="Default"/>
              <w:rPr>
                <w:rFonts w:asciiTheme="minorHAnsi" w:hAnsiTheme="minorHAnsi" w:cstheme="minorBidi"/>
                <w:color w:val="auto"/>
                <w:sz w:val="22"/>
                <w:szCs w:val="22"/>
              </w:rPr>
            </w:pPr>
            <w:r w:rsidRPr="00BB5553">
              <w:rPr>
                <w:rFonts w:asciiTheme="minorHAnsi" w:hAnsiTheme="minorHAnsi" w:cstheme="minorBidi"/>
                <w:color w:val="auto"/>
                <w:sz w:val="22"/>
                <w:szCs w:val="22"/>
              </w:rPr>
              <w:t xml:space="preserve">Data out of Raisers Edge (fundraising database) for the correction journals is reviewed by running queries to pick up data related to Trading VAT related transactions.  </w:t>
            </w:r>
          </w:p>
          <w:p w14:paraId="00F3CF46" w14:textId="77777777" w:rsidR="00987433" w:rsidRPr="00BB5553" w:rsidRDefault="00987433" w:rsidP="00BF6444">
            <w:pPr>
              <w:pStyle w:val="Default"/>
              <w:rPr>
                <w:rFonts w:asciiTheme="minorHAnsi" w:hAnsiTheme="minorHAnsi" w:cstheme="minorBidi"/>
                <w:color w:val="auto"/>
                <w:sz w:val="22"/>
                <w:szCs w:val="22"/>
              </w:rPr>
            </w:pPr>
            <w:r w:rsidRPr="00BB5553">
              <w:rPr>
                <w:rFonts w:asciiTheme="minorHAnsi" w:hAnsiTheme="minorHAnsi" w:cstheme="minorBidi"/>
                <w:color w:val="auto"/>
                <w:sz w:val="22"/>
                <w:szCs w:val="22"/>
              </w:rPr>
              <w:t xml:space="preserve">We currently then type the data into spreadsheet manually which is then uploaded into our Finance system via a ‘.csv’ file.  </w:t>
            </w:r>
          </w:p>
          <w:p w14:paraId="31A32683" w14:textId="77777777" w:rsidR="00987433" w:rsidRPr="00BB5553" w:rsidRDefault="00987433" w:rsidP="00E5000C">
            <w:pPr>
              <w:pStyle w:val="Default"/>
              <w:rPr>
                <w:rFonts w:asciiTheme="minorHAnsi" w:hAnsiTheme="minorHAnsi" w:cstheme="minorBidi"/>
                <w:color w:val="auto"/>
                <w:sz w:val="22"/>
                <w:szCs w:val="22"/>
              </w:rPr>
            </w:pPr>
          </w:p>
          <w:p w14:paraId="50D4306D" w14:textId="191986DD" w:rsidR="00987433" w:rsidRPr="00BB5553" w:rsidRDefault="00987433" w:rsidP="00E5000C">
            <w:pPr>
              <w:pStyle w:val="Default"/>
              <w:rPr>
                <w:rFonts w:asciiTheme="minorHAnsi" w:hAnsiTheme="minorHAnsi" w:cstheme="minorBidi"/>
                <w:color w:val="auto"/>
                <w:sz w:val="22"/>
                <w:szCs w:val="22"/>
              </w:rPr>
            </w:pPr>
            <w:r w:rsidRPr="00BB5553">
              <w:rPr>
                <w:rFonts w:asciiTheme="minorHAnsi" w:hAnsiTheme="minorHAnsi" w:cstheme="minorBidi"/>
                <w:color w:val="auto"/>
                <w:sz w:val="22"/>
                <w:szCs w:val="22"/>
              </w:rPr>
              <w:t>Do we need to find a way to export the data in the queries and use formulae in the spreadsheet of downloaded data to prepare the upload spreadsheet for entry into our finance system? (slide 23)</w:t>
            </w:r>
          </w:p>
          <w:p w14:paraId="6A5EC429" w14:textId="77777777" w:rsidR="00987433" w:rsidRPr="00BB5553" w:rsidRDefault="00987433" w:rsidP="00954AFF">
            <w:pPr>
              <w:pStyle w:val="Default"/>
              <w:rPr>
                <w:rFonts w:asciiTheme="minorHAnsi" w:hAnsiTheme="minorHAnsi" w:cstheme="minorBidi"/>
                <w:color w:val="auto"/>
                <w:sz w:val="22"/>
                <w:szCs w:val="22"/>
              </w:rPr>
            </w:pPr>
          </w:p>
        </w:tc>
        <w:tc>
          <w:tcPr>
            <w:tcW w:w="5274" w:type="dxa"/>
            <w:vMerge w:val="restart"/>
            <w:tcBorders>
              <w:top w:val="single" w:sz="4" w:space="0" w:color="auto"/>
              <w:left w:val="single" w:sz="4" w:space="0" w:color="auto"/>
              <w:bottom w:val="single" w:sz="4" w:space="0" w:color="auto"/>
              <w:right w:val="single" w:sz="4" w:space="0" w:color="auto"/>
            </w:tcBorders>
          </w:tcPr>
          <w:p w14:paraId="600D00C8" w14:textId="437D0164" w:rsidR="00987433" w:rsidRPr="00BB5553" w:rsidRDefault="00987433" w:rsidP="00954AFF">
            <w:pPr>
              <w:pStyle w:val="Default"/>
              <w:rPr>
                <w:rFonts w:asciiTheme="minorHAnsi" w:hAnsiTheme="minorHAnsi" w:cstheme="minorBidi"/>
                <w:i/>
                <w:color w:val="auto"/>
                <w:sz w:val="22"/>
                <w:szCs w:val="22"/>
              </w:rPr>
            </w:pPr>
            <w:r w:rsidRPr="00BB5553">
              <w:rPr>
                <w:rFonts w:asciiTheme="minorHAnsi" w:hAnsiTheme="minorHAnsi" w:cstheme="minorBidi"/>
                <w:i/>
                <w:color w:val="auto"/>
                <w:sz w:val="22"/>
                <w:szCs w:val="22"/>
              </w:rPr>
              <w:t>Provided the full details required are being input in to the spreadsheet then a digital link will not be needed. However, using a digital link will help reduce errors and may improve productivity.</w:t>
            </w:r>
          </w:p>
          <w:p w14:paraId="2DAB31E5" w14:textId="77777777" w:rsidR="00987433" w:rsidRPr="00BB5553" w:rsidRDefault="00987433" w:rsidP="00954AFF">
            <w:pPr>
              <w:pStyle w:val="Default"/>
              <w:rPr>
                <w:rFonts w:asciiTheme="minorHAnsi" w:hAnsiTheme="minorHAnsi" w:cstheme="minorBidi"/>
                <w:i/>
                <w:color w:val="auto"/>
                <w:sz w:val="22"/>
                <w:szCs w:val="22"/>
              </w:rPr>
            </w:pPr>
          </w:p>
          <w:p w14:paraId="6DE3EDB1" w14:textId="77777777" w:rsidR="00987433" w:rsidRPr="00BB5553" w:rsidRDefault="00987433" w:rsidP="00954AFF">
            <w:pPr>
              <w:pStyle w:val="Default"/>
              <w:rPr>
                <w:rFonts w:asciiTheme="minorHAnsi" w:hAnsiTheme="minorHAnsi" w:cstheme="minorBidi"/>
                <w:i/>
                <w:color w:val="auto"/>
                <w:sz w:val="22"/>
                <w:szCs w:val="22"/>
              </w:rPr>
            </w:pPr>
            <w:r w:rsidRPr="00BB5553">
              <w:rPr>
                <w:rFonts w:asciiTheme="minorHAnsi" w:hAnsiTheme="minorHAnsi" w:cstheme="minorBidi"/>
                <w:i/>
                <w:color w:val="auto"/>
                <w:sz w:val="22"/>
                <w:szCs w:val="22"/>
              </w:rPr>
              <w:t xml:space="preserve">A digital link tracking back will be needed if the full details required under MTD VAT are not recorded in the Finance System. </w:t>
            </w:r>
          </w:p>
          <w:p w14:paraId="50984D8F" w14:textId="31F9989F" w:rsidR="00987433" w:rsidRPr="00BB5553" w:rsidRDefault="00987433" w:rsidP="00954AFF">
            <w:pPr>
              <w:pStyle w:val="Default"/>
              <w:rPr>
                <w:rFonts w:asciiTheme="minorHAnsi" w:hAnsiTheme="minorHAnsi" w:cstheme="minorBidi"/>
                <w:i/>
                <w:color w:val="auto"/>
                <w:sz w:val="22"/>
                <w:szCs w:val="22"/>
              </w:rPr>
            </w:pPr>
          </w:p>
        </w:tc>
      </w:tr>
      <w:tr w:rsidR="00BB5553" w:rsidRPr="00BB5553" w14:paraId="436F6C27" w14:textId="77777777" w:rsidTr="00CB6012">
        <w:tc>
          <w:tcPr>
            <w:tcW w:w="4508" w:type="dxa"/>
            <w:tcBorders>
              <w:top w:val="nil"/>
              <w:right w:val="single" w:sz="4" w:space="0" w:color="auto"/>
            </w:tcBorders>
          </w:tcPr>
          <w:p w14:paraId="0F2E62C5" w14:textId="201B8A1E" w:rsidR="00987433" w:rsidRPr="00BB5553" w:rsidRDefault="00987433" w:rsidP="00E5000C">
            <w:pPr>
              <w:pStyle w:val="Default"/>
              <w:rPr>
                <w:rFonts w:asciiTheme="minorHAnsi" w:hAnsiTheme="minorHAnsi" w:cstheme="minorBidi"/>
                <w:color w:val="auto"/>
                <w:sz w:val="22"/>
                <w:szCs w:val="22"/>
              </w:rPr>
            </w:pPr>
            <w:r w:rsidRPr="00BB5553">
              <w:rPr>
                <w:rFonts w:asciiTheme="minorHAnsi" w:hAnsiTheme="minorHAnsi" w:cstheme="minorBidi"/>
                <w:color w:val="auto"/>
                <w:sz w:val="22"/>
                <w:szCs w:val="22"/>
              </w:rPr>
              <w:t>Is the digital link tracking back beyond entry into the Finance system? (slide 23)</w:t>
            </w:r>
          </w:p>
          <w:p w14:paraId="37854357" w14:textId="77777777" w:rsidR="00987433" w:rsidRPr="00BB5553" w:rsidRDefault="00987433" w:rsidP="00954AFF">
            <w:pPr>
              <w:pStyle w:val="Default"/>
              <w:rPr>
                <w:rFonts w:asciiTheme="minorHAnsi" w:hAnsiTheme="minorHAnsi" w:cstheme="minorBidi"/>
                <w:color w:val="auto"/>
                <w:sz w:val="22"/>
                <w:szCs w:val="22"/>
              </w:rPr>
            </w:pPr>
          </w:p>
        </w:tc>
        <w:tc>
          <w:tcPr>
            <w:tcW w:w="5274" w:type="dxa"/>
            <w:vMerge/>
            <w:tcBorders>
              <w:left w:val="single" w:sz="4" w:space="0" w:color="auto"/>
              <w:right w:val="single" w:sz="4" w:space="0" w:color="auto"/>
            </w:tcBorders>
          </w:tcPr>
          <w:p w14:paraId="0E7541F1" w14:textId="239D7026" w:rsidR="00987433" w:rsidRPr="00BB5553" w:rsidRDefault="00987433" w:rsidP="00954AFF">
            <w:pPr>
              <w:pStyle w:val="Default"/>
              <w:rPr>
                <w:rFonts w:asciiTheme="minorHAnsi" w:hAnsiTheme="minorHAnsi" w:cstheme="minorBidi"/>
                <w:color w:val="auto"/>
                <w:sz w:val="22"/>
                <w:szCs w:val="22"/>
              </w:rPr>
            </w:pPr>
          </w:p>
        </w:tc>
      </w:tr>
      <w:tr w:rsidR="00BB5553" w:rsidRPr="00BB5553" w14:paraId="6D4A1299" w14:textId="77777777" w:rsidTr="00CB6012">
        <w:tc>
          <w:tcPr>
            <w:tcW w:w="4508" w:type="dxa"/>
          </w:tcPr>
          <w:p w14:paraId="4C591945" w14:textId="011B7439" w:rsidR="009074CF" w:rsidRPr="00BB5553" w:rsidRDefault="009074CF" w:rsidP="009074CF">
            <w:pPr>
              <w:pStyle w:val="Default"/>
              <w:rPr>
                <w:rFonts w:asciiTheme="minorHAnsi" w:hAnsiTheme="minorHAnsi" w:cstheme="minorBidi"/>
                <w:color w:val="auto"/>
                <w:sz w:val="22"/>
                <w:szCs w:val="22"/>
              </w:rPr>
            </w:pPr>
            <w:r w:rsidRPr="00BB5553">
              <w:rPr>
                <w:rFonts w:asciiTheme="minorHAnsi" w:hAnsiTheme="minorHAnsi" w:cstheme="minorBidi"/>
                <w:color w:val="auto"/>
                <w:sz w:val="22"/>
                <w:szCs w:val="22"/>
              </w:rPr>
              <w:t xml:space="preserve">How do digital links apply when we transfer sales data from our EPOS system to our account </w:t>
            </w:r>
            <w:proofErr w:type="gramStart"/>
            <w:r w:rsidRPr="00BB5553">
              <w:rPr>
                <w:rFonts w:asciiTheme="minorHAnsi" w:hAnsiTheme="minorHAnsi" w:cstheme="minorBidi"/>
                <w:color w:val="auto"/>
                <w:sz w:val="22"/>
                <w:szCs w:val="22"/>
              </w:rPr>
              <w:t>system.</w:t>
            </w:r>
            <w:proofErr w:type="gramEnd"/>
            <w:r w:rsidRPr="00BB5553">
              <w:rPr>
                <w:rFonts w:asciiTheme="minorHAnsi" w:hAnsiTheme="minorHAnsi" w:cstheme="minorBidi"/>
                <w:color w:val="auto"/>
                <w:sz w:val="22"/>
                <w:szCs w:val="22"/>
              </w:rPr>
              <w:t xml:space="preserve"> Or when we transfer data from our donation database?</w:t>
            </w:r>
          </w:p>
          <w:p w14:paraId="154667CE" w14:textId="77777777" w:rsidR="009074CF" w:rsidRPr="00BB5553" w:rsidRDefault="009074CF" w:rsidP="009074CF">
            <w:pPr>
              <w:pStyle w:val="Default"/>
              <w:rPr>
                <w:rFonts w:asciiTheme="minorHAnsi" w:hAnsiTheme="minorHAnsi" w:cstheme="minorBidi"/>
                <w:color w:val="auto"/>
                <w:sz w:val="22"/>
                <w:szCs w:val="22"/>
              </w:rPr>
            </w:pPr>
          </w:p>
          <w:p w14:paraId="112B4396" w14:textId="5CE31D1F" w:rsidR="009074CF" w:rsidRPr="00BB5553" w:rsidRDefault="009074CF" w:rsidP="009074CF">
            <w:pPr>
              <w:pStyle w:val="Default"/>
              <w:rPr>
                <w:rFonts w:asciiTheme="minorHAnsi" w:hAnsiTheme="minorHAnsi" w:cstheme="minorBidi"/>
                <w:color w:val="auto"/>
                <w:sz w:val="22"/>
                <w:szCs w:val="22"/>
              </w:rPr>
            </w:pPr>
            <w:r w:rsidRPr="00BB5553">
              <w:rPr>
                <w:rFonts w:asciiTheme="minorHAnsi" w:hAnsiTheme="minorHAnsi" w:cstheme="minorBidi"/>
                <w:color w:val="auto"/>
                <w:sz w:val="22"/>
                <w:szCs w:val="22"/>
              </w:rPr>
              <w:t xml:space="preserve">The data is transferred by downloading the EPOS information to Excel, formatting the data </w:t>
            </w:r>
            <w:r w:rsidRPr="00BB5553">
              <w:rPr>
                <w:rFonts w:asciiTheme="minorHAnsi" w:hAnsiTheme="minorHAnsi" w:cstheme="minorBidi"/>
                <w:color w:val="auto"/>
                <w:sz w:val="22"/>
                <w:szCs w:val="22"/>
              </w:rPr>
              <w:lastRenderedPageBreak/>
              <w:t>into a format for upload to the accounts system (using lookups – no manual typing involved), and then uploading the formatted sales information into the accounts system.</w:t>
            </w:r>
          </w:p>
          <w:p w14:paraId="7B466813" w14:textId="77777777" w:rsidR="009074CF" w:rsidRPr="00BB5553" w:rsidRDefault="009074CF" w:rsidP="009074CF">
            <w:pPr>
              <w:pStyle w:val="Default"/>
              <w:rPr>
                <w:rFonts w:asciiTheme="minorHAnsi" w:hAnsiTheme="minorHAnsi" w:cstheme="minorBidi"/>
                <w:color w:val="auto"/>
                <w:sz w:val="22"/>
                <w:szCs w:val="22"/>
              </w:rPr>
            </w:pPr>
          </w:p>
          <w:p w14:paraId="43CC8AF6" w14:textId="17E7DF45" w:rsidR="009074CF" w:rsidRPr="00BB5553" w:rsidRDefault="009074CF" w:rsidP="009074CF">
            <w:pPr>
              <w:pStyle w:val="Default"/>
              <w:rPr>
                <w:rFonts w:asciiTheme="minorHAnsi" w:hAnsiTheme="minorHAnsi" w:cstheme="minorBidi"/>
                <w:color w:val="auto"/>
                <w:sz w:val="22"/>
                <w:szCs w:val="22"/>
              </w:rPr>
            </w:pPr>
            <w:r w:rsidRPr="00BB5553">
              <w:rPr>
                <w:rFonts w:asciiTheme="minorHAnsi" w:hAnsiTheme="minorHAnsi" w:cstheme="minorBidi"/>
                <w:color w:val="auto"/>
                <w:sz w:val="22"/>
                <w:szCs w:val="22"/>
              </w:rPr>
              <w:t>Is this process compliant with the digital link requirement?” (slide 24)</w:t>
            </w:r>
          </w:p>
          <w:p w14:paraId="293857FF" w14:textId="77777777" w:rsidR="009074CF" w:rsidRPr="00BB5553" w:rsidRDefault="009074CF" w:rsidP="00E5000C">
            <w:pPr>
              <w:pStyle w:val="Default"/>
              <w:rPr>
                <w:rFonts w:asciiTheme="minorHAnsi" w:hAnsiTheme="minorHAnsi" w:cstheme="minorBidi"/>
                <w:color w:val="auto"/>
                <w:sz w:val="22"/>
                <w:szCs w:val="22"/>
              </w:rPr>
            </w:pPr>
          </w:p>
        </w:tc>
        <w:tc>
          <w:tcPr>
            <w:tcW w:w="5274" w:type="dxa"/>
          </w:tcPr>
          <w:p w14:paraId="71949CA3" w14:textId="1E0C3F55" w:rsidR="009074CF" w:rsidRPr="00BB5553" w:rsidRDefault="003620E4" w:rsidP="00954AFF">
            <w:pPr>
              <w:pStyle w:val="Default"/>
              <w:rPr>
                <w:rFonts w:asciiTheme="minorHAnsi" w:hAnsiTheme="minorHAnsi" w:cstheme="minorBidi"/>
                <w:i/>
                <w:color w:val="auto"/>
                <w:sz w:val="22"/>
                <w:szCs w:val="22"/>
              </w:rPr>
            </w:pPr>
            <w:r w:rsidRPr="00BB5553">
              <w:rPr>
                <w:rFonts w:asciiTheme="minorHAnsi" w:hAnsiTheme="minorHAnsi" w:cstheme="minorBidi"/>
                <w:i/>
                <w:color w:val="auto"/>
                <w:sz w:val="22"/>
                <w:szCs w:val="22"/>
              </w:rPr>
              <w:lastRenderedPageBreak/>
              <w:t xml:space="preserve">Yes, this process is compliant with digital link requirements. </w:t>
            </w:r>
          </w:p>
        </w:tc>
      </w:tr>
      <w:tr w:rsidR="00E93E44" w:rsidRPr="00BB5553" w14:paraId="66A104AA" w14:textId="77777777" w:rsidTr="00CB6012">
        <w:tc>
          <w:tcPr>
            <w:tcW w:w="4508" w:type="dxa"/>
          </w:tcPr>
          <w:p w14:paraId="442A989B" w14:textId="6A79E70B" w:rsidR="002B3BCE" w:rsidRPr="00BB5553" w:rsidRDefault="002B3BCE" w:rsidP="002B3BCE">
            <w:pPr>
              <w:pStyle w:val="Default"/>
              <w:rPr>
                <w:rFonts w:asciiTheme="minorHAnsi" w:hAnsiTheme="minorHAnsi" w:cstheme="minorBidi"/>
                <w:color w:val="auto"/>
                <w:sz w:val="22"/>
                <w:szCs w:val="22"/>
              </w:rPr>
            </w:pPr>
            <w:r w:rsidRPr="00BB5553">
              <w:rPr>
                <w:rFonts w:asciiTheme="minorHAnsi" w:hAnsiTheme="minorHAnsi" w:cstheme="minorBidi"/>
                <w:color w:val="auto"/>
                <w:sz w:val="22"/>
                <w:szCs w:val="22"/>
              </w:rPr>
              <w:t xml:space="preserve">In relation to our online trading orders, we currently download reports from </w:t>
            </w:r>
            <w:proofErr w:type="spellStart"/>
            <w:r w:rsidRPr="00BB5553">
              <w:rPr>
                <w:rFonts w:asciiTheme="minorHAnsi" w:hAnsiTheme="minorHAnsi" w:cstheme="minorBidi"/>
                <w:color w:val="auto"/>
                <w:sz w:val="22"/>
                <w:szCs w:val="22"/>
              </w:rPr>
              <w:t>Paypal</w:t>
            </w:r>
            <w:proofErr w:type="spellEnd"/>
            <w:r w:rsidRPr="00BB5553">
              <w:rPr>
                <w:rFonts w:asciiTheme="minorHAnsi" w:hAnsiTheme="minorHAnsi" w:cstheme="minorBidi"/>
                <w:color w:val="auto"/>
                <w:sz w:val="22"/>
                <w:szCs w:val="22"/>
              </w:rPr>
              <w:t xml:space="preserve"> and Magento (which holds the online order information).</w:t>
            </w:r>
          </w:p>
          <w:p w14:paraId="61A18729" w14:textId="77777777" w:rsidR="00D50DEA" w:rsidRPr="00BB5553" w:rsidRDefault="00D50DEA" w:rsidP="002B3BCE">
            <w:pPr>
              <w:pStyle w:val="Default"/>
              <w:rPr>
                <w:rFonts w:asciiTheme="minorHAnsi" w:hAnsiTheme="minorHAnsi" w:cstheme="minorBidi"/>
                <w:color w:val="auto"/>
                <w:sz w:val="22"/>
                <w:szCs w:val="22"/>
              </w:rPr>
            </w:pPr>
          </w:p>
          <w:p w14:paraId="312D5AFC" w14:textId="77777777" w:rsidR="002B3BCE" w:rsidRPr="00BB5553" w:rsidRDefault="002B3BCE" w:rsidP="002B3BCE">
            <w:pPr>
              <w:pStyle w:val="Default"/>
              <w:rPr>
                <w:rFonts w:asciiTheme="minorHAnsi" w:hAnsiTheme="minorHAnsi" w:cstheme="minorBidi"/>
                <w:color w:val="auto"/>
                <w:sz w:val="22"/>
                <w:szCs w:val="22"/>
              </w:rPr>
            </w:pPr>
            <w:r w:rsidRPr="00BB5553">
              <w:rPr>
                <w:rFonts w:asciiTheme="minorHAnsi" w:hAnsiTheme="minorHAnsi" w:cstheme="minorBidi"/>
                <w:color w:val="auto"/>
                <w:sz w:val="22"/>
                <w:szCs w:val="22"/>
              </w:rPr>
              <w:t xml:space="preserve">We currently have some manipulation of this data before importing into Raisers Edge (fundraising database), some of which is copying and pasting. E.g. using a new tab to add the postage and packaging from the </w:t>
            </w:r>
            <w:proofErr w:type="spellStart"/>
            <w:r w:rsidRPr="00BB5553">
              <w:rPr>
                <w:rFonts w:asciiTheme="minorHAnsi" w:hAnsiTheme="minorHAnsi" w:cstheme="minorBidi"/>
                <w:color w:val="auto"/>
                <w:sz w:val="22"/>
                <w:szCs w:val="22"/>
              </w:rPr>
              <w:t>Paypal</w:t>
            </w:r>
            <w:proofErr w:type="spellEnd"/>
            <w:r w:rsidRPr="00BB5553">
              <w:rPr>
                <w:rFonts w:asciiTheme="minorHAnsi" w:hAnsiTheme="minorHAnsi" w:cstheme="minorBidi"/>
                <w:color w:val="auto"/>
                <w:sz w:val="22"/>
                <w:szCs w:val="22"/>
              </w:rPr>
              <w:t xml:space="preserve"> spreadsheet, then removing duplicate rows and then copying it back to the main spreadsheet page.</w:t>
            </w:r>
          </w:p>
          <w:p w14:paraId="47923F1A" w14:textId="77777777" w:rsidR="002B3BCE" w:rsidRPr="00BB5553" w:rsidRDefault="002B3BCE" w:rsidP="00E5000C">
            <w:pPr>
              <w:pStyle w:val="Default"/>
              <w:rPr>
                <w:rFonts w:asciiTheme="minorHAnsi" w:hAnsiTheme="minorHAnsi" w:cstheme="minorBidi"/>
                <w:color w:val="auto"/>
                <w:sz w:val="22"/>
                <w:szCs w:val="22"/>
              </w:rPr>
            </w:pPr>
          </w:p>
          <w:p w14:paraId="245688E4" w14:textId="68FCDC09" w:rsidR="00E5000C" w:rsidRPr="00BB5553" w:rsidRDefault="00E5000C" w:rsidP="00E5000C">
            <w:pPr>
              <w:pStyle w:val="Default"/>
              <w:rPr>
                <w:rFonts w:asciiTheme="minorHAnsi" w:hAnsiTheme="minorHAnsi" w:cstheme="minorBidi"/>
                <w:color w:val="auto"/>
                <w:sz w:val="22"/>
                <w:szCs w:val="22"/>
              </w:rPr>
            </w:pPr>
            <w:r w:rsidRPr="00BB5553">
              <w:rPr>
                <w:rFonts w:asciiTheme="minorHAnsi" w:hAnsiTheme="minorHAnsi" w:cstheme="minorBidi"/>
                <w:color w:val="auto"/>
                <w:sz w:val="22"/>
                <w:szCs w:val="22"/>
              </w:rPr>
              <w:t xml:space="preserve">Is the data entering into our Finance system or our fundraising database the first point at which we need digital links and no copy/paste or does this have to go back as far as the website online orders data coming from Magento and </w:t>
            </w:r>
            <w:proofErr w:type="spellStart"/>
            <w:r w:rsidRPr="00BB5553">
              <w:rPr>
                <w:rFonts w:asciiTheme="minorHAnsi" w:hAnsiTheme="minorHAnsi" w:cstheme="minorBidi"/>
                <w:color w:val="auto"/>
                <w:sz w:val="22"/>
                <w:szCs w:val="22"/>
              </w:rPr>
              <w:t>Paypal</w:t>
            </w:r>
            <w:proofErr w:type="spellEnd"/>
            <w:r w:rsidRPr="00BB5553">
              <w:rPr>
                <w:rFonts w:asciiTheme="minorHAnsi" w:hAnsiTheme="minorHAnsi" w:cstheme="minorBidi"/>
                <w:color w:val="auto"/>
                <w:sz w:val="22"/>
                <w:szCs w:val="22"/>
              </w:rPr>
              <w:t>?</w:t>
            </w:r>
            <w:r w:rsidR="00C03ADA" w:rsidRPr="00BB5553">
              <w:rPr>
                <w:rFonts w:asciiTheme="minorHAnsi" w:hAnsiTheme="minorHAnsi" w:cstheme="minorBidi"/>
                <w:color w:val="auto"/>
                <w:sz w:val="22"/>
                <w:szCs w:val="22"/>
              </w:rPr>
              <w:t xml:space="preserve"> (slide 25)</w:t>
            </w:r>
          </w:p>
          <w:p w14:paraId="2494F773" w14:textId="77777777" w:rsidR="00E93E44" w:rsidRPr="00BB5553" w:rsidRDefault="00E93E44" w:rsidP="00954AFF">
            <w:pPr>
              <w:pStyle w:val="Default"/>
              <w:rPr>
                <w:rFonts w:asciiTheme="minorHAnsi" w:hAnsiTheme="minorHAnsi" w:cstheme="minorBidi"/>
                <w:color w:val="auto"/>
                <w:sz w:val="22"/>
                <w:szCs w:val="22"/>
              </w:rPr>
            </w:pPr>
          </w:p>
        </w:tc>
        <w:tc>
          <w:tcPr>
            <w:tcW w:w="5274" w:type="dxa"/>
          </w:tcPr>
          <w:p w14:paraId="01E5C41C" w14:textId="5DD89D09" w:rsidR="00E93E44" w:rsidRPr="00BB5553" w:rsidRDefault="00C76F1D" w:rsidP="00954AFF">
            <w:pPr>
              <w:pStyle w:val="Default"/>
              <w:rPr>
                <w:rFonts w:asciiTheme="minorHAnsi" w:hAnsiTheme="minorHAnsi" w:cstheme="minorBidi"/>
                <w:i/>
                <w:color w:val="auto"/>
                <w:sz w:val="22"/>
                <w:szCs w:val="22"/>
              </w:rPr>
            </w:pPr>
            <w:r w:rsidRPr="00BB5553">
              <w:rPr>
                <w:rFonts w:asciiTheme="minorHAnsi" w:hAnsiTheme="minorHAnsi" w:cstheme="minorBidi"/>
                <w:i/>
                <w:color w:val="auto"/>
                <w:sz w:val="22"/>
                <w:szCs w:val="22"/>
              </w:rPr>
              <w:t xml:space="preserve">Where the full data required </w:t>
            </w:r>
            <w:r w:rsidR="00536B2E" w:rsidRPr="00BB5553">
              <w:rPr>
                <w:rFonts w:asciiTheme="minorHAnsi" w:hAnsiTheme="minorHAnsi" w:cstheme="minorBidi"/>
                <w:i/>
                <w:color w:val="auto"/>
                <w:sz w:val="22"/>
                <w:szCs w:val="22"/>
              </w:rPr>
              <w:t xml:space="preserve">under MTD VAT is entered in to a system there are no requirements as to how that data is entered. </w:t>
            </w:r>
            <w:r w:rsidR="001377F7" w:rsidRPr="00BB5553">
              <w:rPr>
                <w:rFonts w:asciiTheme="minorHAnsi" w:hAnsiTheme="minorHAnsi" w:cstheme="minorBidi"/>
                <w:i/>
                <w:color w:val="auto"/>
                <w:sz w:val="22"/>
                <w:szCs w:val="22"/>
              </w:rPr>
              <w:t xml:space="preserve">However, if summary data is entered e.g. weekly totals, then a digital is required </w:t>
            </w:r>
            <w:r w:rsidR="00D96B23" w:rsidRPr="00BB5553">
              <w:rPr>
                <w:rFonts w:asciiTheme="minorHAnsi" w:hAnsiTheme="minorHAnsi" w:cstheme="minorBidi"/>
                <w:i/>
                <w:color w:val="auto"/>
                <w:sz w:val="22"/>
                <w:szCs w:val="22"/>
              </w:rPr>
              <w:t xml:space="preserve">to transfer data between software packages. </w:t>
            </w:r>
          </w:p>
        </w:tc>
      </w:tr>
      <w:tr w:rsidR="00CB6012" w:rsidRPr="00BB5553" w14:paraId="38EF56AB" w14:textId="77777777" w:rsidTr="00CB6012">
        <w:tc>
          <w:tcPr>
            <w:tcW w:w="4508" w:type="dxa"/>
          </w:tcPr>
          <w:p w14:paraId="02C04092" w14:textId="0D811771" w:rsidR="00CB6012" w:rsidRDefault="00CB6012" w:rsidP="00CB6012">
            <w:pPr>
              <w:spacing w:line="256" w:lineRule="auto"/>
            </w:pPr>
            <w:r>
              <w:t xml:space="preserve">We currently use a spreadsheet for the monthly income/expenses. These go off to our accountants at the end of the year to prepare the accounts. As we are an RSPCA Branch and overall consolidation by national HQ is stopping, are we expected now to buy an accounts package to do our quarterly vat returns? btw the continuation of the </w:t>
            </w:r>
            <w:proofErr w:type="gramStart"/>
            <w:r>
              <w:t>long standing</w:t>
            </w:r>
            <w:proofErr w:type="gramEnd"/>
            <w:r>
              <w:t xml:space="preserve"> special arrangement for RSPCA for umbrella vat returns by national HQ has only just been declined, so we have 5 weeks to get sorted!</w:t>
            </w:r>
            <w:r>
              <w:t xml:space="preserve"> [Unanswered question during session]</w:t>
            </w:r>
          </w:p>
          <w:p w14:paraId="4E6B42C3" w14:textId="77777777" w:rsidR="00CB6012" w:rsidRPr="00BB5553" w:rsidRDefault="00CB6012" w:rsidP="002B3BCE">
            <w:pPr>
              <w:pStyle w:val="Default"/>
              <w:rPr>
                <w:rFonts w:asciiTheme="minorHAnsi" w:hAnsiTheme="minorHAnsi" w:cstheme="minorBidi"/>
                <w:color w:val="auto"/>
                <w:sz w:val="22"/>
                <w:szCs w:val="22"/>
              </w:rPr>
            </w:pPr>
          </w:p>
        </w:tc>
        <w:tc>
          <w:tcPr>
            <w:tcW w:w="5274" w:type="dxa"/>
          </w:tcPr>
          <w:p w14:paraId="09240277" w14:textId="77777777" w:rsidR="00CB6012" w:rsidRPr="00CB6012" w:rsidRDefault="00CB6012" w:rsidP="00CB6012">
            <w:pPr>
              <w:pStyle w:val="ListParagraph"/>
              <w:ind w:left="0"/>
              <w:rPr>
                <w:rFonts w:cstheme="minorHAnsi"/>
                <w:i/>
              </w:rPr>
            </w:pPr>
            <w:r w:rsidRPr="00CB6012">
              <w:rPr>
                <w:rFonts w:cstheme="minorHAnsi"/>
                <w:i/>
              </w:rPr>
              <w:t xml:space="preserve">We are not able to check details of individual business without dealing with their agent or the businesses themselves. </w:t>
            </w:r>
            <w:proofErr w:type="gramStart"/>
            <w:r w:rsidRPr="00CB6012">
              <w:rPr>
                <w:rFonts w:cstheme="minorHAnsi"/>
                <w:i/>
              </w:rPr>
              <w:t>It’s</w:t>
            </w:r>
            <w:proofErr w:type="gramEnd"/>
            <w:r w:rsidRPr="00CB6012">
              <w:rPr>
                <w:rFonts w:cstheme="minorHAnsi"/>
                <w:i/>
              </w:rPr>
              <w:t xml:space="preserve"> not clear whether RSPCA branches are going to be individually VAT registered. We also do not know whether the National HQ will be acting as their agent and submitting VAT Returns on their behalf. If the individual branch is VAT registered with taxable turnover above the VAT Registration threshold and the National HQ is not completing VAT Returns on their behalf, then the branch will be required to follow MTD VAT rules. If this is the case, they will need compatible software, as set out in the VAT Notice 700/22 under Section 4. This will not necessarily need to be an accounting package. </w:t>
            </w:r>
          </w:p>
          <w:p w14:paraId="457F3C43" w14:textId="77777777" w:rsidR="00CB6012" w:rsidRPr="00CB6012" w:rsidRDefault="00CB6012" w:rsidP="00CB6012">
            <w:pPr>
              <w:ind w:left="-60"/>
              <w:rPr>
                <w:rFonts w:cstheme="minorHAnsi"/>
                <w:i/>
              </w:rPr>
            </w:pPr>
            <w:r w:rsidRPr="00CB6012">
              <w:rPr>
                <w:rFonts w:cstheme="minorHAnsi"/>
                <w:i/>
              </w:rPr>
              <w:t xml:space="preserve">Businesses can use excel for Making Tax Digital VAT purposes. The excel spreadsheet can be connected to bridging software which will enable the </w:t>
            </w:r>
            <w:proofErr w:type="gramStart"/>
            <w:r w:rsidRPr="00CB6012">
              <w:rPr>
                <w:rFonts w:cstheme="minorHAnsi"/>
                <w:i/>
              </w:rPr>
              <w:t>9 box</w:t>
            </w:r>
            <w:proofErr w:type="gramEnd"/>
            <w:r w:rsidRPr="00CB6012">
              <w:rPr>
                <w:rFonts w:cstheme="minorHAnsi"/>
                <w:i/>
              </w:rPr>
              <w:t xml:space="preserve"> data to be sent to HMRC via an Application Programming Interface (API) connection. This is mentioned in the VAT Notice 700/22 under Section 4. Another alternative is to use API enabled spreadsheets that incorporate relevant Making Tax Digital APIs. These can either:</w:t>
            </w:r>
          </w:p>
          <w:p w14:paraId="3D37B68C" w14:textId="77777777" w:rsidR="00CB6012" w:rsidRPr="00CB6012" w:rsidRDefault="00CB6012" w:rsidP="00CB6012">
            <w:pPr>
              <w:pStyle w:val="ListParagraph"/>
              <w:numPr>
                <w:ilvl w:val="0"/>
                <w:numId w:val="20"/>
              </w:numPr>
              <w:shd w:val="clear" w:color="auto" w:fill="FFFFFF"/>
              <w:spacing w:after="75"/>
              <w:rPr>
                <w:rFonts w:cstheme="minorHAnsi"/>
                <w:i/>
              </w:rPr>
            </w:pPr>
            <w:r w:rsidRPr="00CB6012">
              <w:rPr>
                <w:rFonts w:cstheme="minorHAnsi"/>
                <w:i/>
              </w:rPr>
              <w:t xml:space="preserve">combine with accounting software to submit the required VAT information digitally to HMRC, and allow information to be sent back to the business digitally from </w:t>
            </w:r>
            <w:proofErr w:type="gramStart"/>
            <w:r w:rsidRPr="00CB6012">
              <w:rPr>
                <w:rFonts w:cstheme="minorHAnsi"/>
                <w:i/>
              </w:rPr>
              <w:t>HMRC</w:t>
            </w:r>
            <w:proofErr w:type="gramEnd"/>
          </w:p>
          <w:p w14:paraId="1D62FB64" w14:textId="77777777" w:rsidR="00CB6012" w:rsidRPr="00CB6012" w:rsidRDefault="00CB6012" w:rsidP="00CB6012">
            <w:pPr>
              <w:pStyle w:val="ListParagraph"/>
              <w:numPr>
                <w:ilvl w:val="0"/>
                <w:numId w:val="20"/>
              </w:numPr>
              <w:shd w:val="clear" w:color="auto" w:fill="FFFFFF"/>
              <w:spacing w:after="75"/>
              <w:rPr>
                <w:rFonts w:cstheme="minorHAnsi"/>
                <w:i/>
              </w:rPr>
            </w:pPr>
            <w:r w:rsidRPr="00CB6012">
              <w:rPr>
                <w:rFonts w:cstheme="minorHAnsi"/>
                <w:i/>
              </w:rPr>
              <w:lastRenderedPageBreak/>
              <w:t xml:space="preserve">be used to keep digital records and then directly submit the required VAT information digitally to </w:t>
            </w:r>
            <w:proofErr w:type="gramStart"/>
            <w:r w:rsidRPr="00CB6012">
              <w:rPr>
                <w:rFonts w:cstheme="minorHAnsi"/>
                <w:i/>
              </w:rPr>
              <w:t>HMRC</w:t>
            </w:r>
            <w:proofErr w:type="gramEnd"/>
          </w:p>
          <w:p w14:paraId="7952FFB2" w14:textId="77777777" w:rsidR="00CB6012" w:rsidRPr="00CB6012" w:rsidRDefault="00CB6012" w:rsidP="00CB6012">
            <w:pPr>
              <w:ind w:left="-60"/>
              <w:rPr>
                <w:rFonts w:cstheme="minorHAnsi"/>
                <w:i/>
              </w:rPr>
            </w:pPr>
            <w:r w:rsidRPr="00CB6012">
              <w:rPr>
                <w:rFonts w:cstheme="minorHAnsi"/>
                <w:i/>
              </w:rPr>
              <w:t xml:space="preserve">There are currently over 500 products on the MTD VAT software choices page to support businesses, which also include some free products. </w:t>
            </w:r>
          </w:p>
          <w:p w14:paraId="00283DBD" w14:textId="77777777" w:rsidR="00CB6012" w:rsidRPr="00CB6012" w:rsidRDefault="00CB6012" w:rsidP="00CB6012">
            <w:pPr>
              <w:pStyle w:val="ListParagraph"/>
              <w:ind w:left="0"/>
              <w:rPr>
                <w:rFonts w:cstheme="minorHAnsi"/>
                <w:i/>
              </w:rPr>
            </w:pPr>
            <w:r w:rsidRPr="00CB6012">
              <w:rPr>
                <w:rFonts w:cstheme="minorHAnsi"/>
                <w:i/>
              </w:rPr>
              <w:t xml:space="preserve">Businesses can consider applying for a digital links deadline extension for additional time to set up their MTD VAT systems. Details about the application process and criteria are set out in section 4.2.1.3 of the VAT Notice 700/22. Each application is considered on a </w:t>
            </w:r>
            <w:proofErr w:type="gramStart"/>
            <w:r w:rsidRPr="00CB6012">
              <w:rPr>
                <w:rFonts w:cstheme="minorHAnsi"/>
                <w:i/>
              </w:rPr>
              <w:t>case by case</w:t>
            </w:r>
            <w:proofErr w:type="gramEnd"/>
            <w:r w:rsidRPr="00CB6012">
              <w:rPr>
                <w:rFonts w:cstheme="minorHAnsi"/>
                <w:i/>
              </w:rPr>
              <w:t xml:space="preserve"> basis. </w:t>
            </w:r>
          </w:p>
          <w:p w14:paraId="22D528B2" w14:textId="77777777" w:rsidR="00CB6012" w:rsidRPr="00CB6012" w:rsidRDefault="00CB6012" w:rsidP="00CB6012">
            <w:pPr>
              <w:pStyle w:val="ListParagraph"/>
              <w:ind w:left="0"/>
              <w:rPr>
                <w:rFonts w:cstheme="minorHAnsi"/>
              </w:rPr>
            </w:pPr>
          </w:p>
          <w:p w14:paraId="03ED129A" w14:textId="6686EE82" w:rsidR="00CB6012" w:rsidRPr="00BB5553" w:rsidRDefault="00CB6012" w:rsidP="00CB6012">
            <w:pPr>
              <w:pStyle w:val="Default"/>
              <w:rPr>
                <w:rFonts w:asciiTheme="minorHAnsi" w:hAnsiTheme="minorHAnsi" w:cstheme="minorBidi"/>
                <w:i/>
                <w:color w:val="auto"/>
                <w:sz w:val="22"/>
                <w:szCs w:val="22"/>
              </w:rPr>
            </w:pPr>
            <w:r w:rsidRPr="00CB6012">
              <w:rPr>
                <w:rFonts w:asciiTheme="minorHAnsi" w:hAnsiTheme="minorHAnsi" w:cstheme="minorHAnsi"/>
                <w:i/>
                <w:sz w:val="22"/>
                <w:szCs w:val="22"/>
              </w:rPr>
              <w:t>Please note businesses with taxable turnover above the VAT Registration Threshold are mandated to follow MTD VAT rules. However, if you are VAT Registered and your taxable turnover remains below the VAT Registration Threshold then you will not be mandated to follow MTD VAT rules until April 2022</w:t>
            </w:r>
          </w:p>
        </w:tc>
      </w:tr>
      <w:tr w:rsidR="00CB6012" w:rsidRPr="00BB5553" w14:paraId="229AEA97" w14:textId="77777777" w:rsidTr="00CB6012">
        <w:tc>
          <w:tcPr>
            <w:tcW w:w="4508" w:type="dxa"/>
          </w:tcPr>
          <w:p w14:paraId="7AB77B2A" w14:textId="77777777" w:rsidR="00CB6012" w:rsidRDefault="00CB6012" w:rsidP="00CB6012">
            <w:pPr>
              <w:spacing w:line="256" w:lineRule="auto"/>
            </w:pPr>
            <w:r>
              <w:lastRenderedPageBreak/>
              <w:t xml:space="preserve">As a charity we have many shops that use an EPOS and export the data and will be imported into our finance system </w:t>
            </w:r>
            <w:proofErr w:type="gramStart"/>
            <w:r>
              <w:t>On</w:t>
            </w:r>
            <w:proofErr w:type="gramEnd"/>
            <w:r>
              <w:t xml:space="preserve"> a monthly basis, our eBay sales are entered into the EPOS which then subsequently flow through to finance. Do the eBay sales now need to be input </w:t>
            </w:r>
            <w:proofErr w:type="gramStart"/>
            <w:r>
              <w:t>on a daily basis</w:t>
            </w:r>
            <w:proofErr w:type="gramEnd"/>
            <w:r>
              <w:t>?</w:t>
            </w:r>
          </w:p>
          <w:p w14:paraId="035325FF" w14:textId="77777777" w:rsidR="00CB6012" w:rsidRDefault="00CB6012" w:rsidP="00CB6012">
            <w:pPr>
              <w:spacing w:line="256" w:lineRule="auto"/>
            </w:pPr>
          </w:p>
        </w:tc>
        <w:tc>
          <w:tcPr>
            <w:tcW w:w="5274" w:type="dxa"/>
          </w:tcPr>
          <w:p w14:paraId="5B2E19F6" w14:textId="77777777" w:rsidR="00CB6012" w:rsidRDefault="00CB6012" w:rsidP="00CB6012">
            <w:pPr>
              <w:pStyle w:val="ListParagraph"/>
              <w:ind w:left="0"/>
              <w:rPr>
                <w:i/>
              </w:rPr>
            </w:pPr>
            <w:r>
              <w:rPr>
                <w:i/>
              </w:rPr>
              <w:t xml:space="preserve">Sales via eBay can be treated as a </w:t>
            </w:r>
            <w:proofErr w:type="gramStart"/>
            <w:r>
              <w:rPr>
                <w:i/>
              </w:rPr>
              <w:t>third party</w:t>
            </w:r>
            <w:proofErr w:type="gramEnd"/>
            <w:r>
              <w:rPr>
                <w:i/>
              </w:rPr>
              <w:t xml:space="preserve"> agents as set out under VAT Notice 700/22 section 4.3.2.1. If eBay provides a monthly </w:t>
            </w:r>
            <w:proofErr w:type="gramStart"/>
            <w:r>
              <w:rPr>
                <w:i/>
              </w:rPr>
              <w:t>summary</w:t>
            </w:r>
            <w:proofErr w:type="gramEnd"/>
            <w:r>
              <w:rPr>
                <w:i/>
              </w:rPr>
              <w:t xml:space="preserve"> then you can enter the details in monthly. When using a statement in this way you can enter the total transaction figure for supplies at each rate of VAT </w:t>
            </w:r>
            <w:proofErr w:type="gramStart"/>
            <w:r>
              <w:rPr>
                <w:i/>
              </w:rPr>
              <w:t>e.g.</w:t>
            </w:r>
            <w:proofErr w:type="gramEnd"/>
            <w:r>
              <w:rPr>
                <w:i/>
              </w:rPr>
              <w:t xml:space="preserve"> treat the statement as if it was one invoice.  </w:t>
            </w:r>
          </w:p>
          <w:p w14:paraId="27E54BD5" w14:textId="77777777" w:rsidR="00CB6012" w:rsidRPr="00CB6012" w:rsidRDefault="00CB6012" w:rsidP="00CB6012">
            <w:pPr>
              <w:pStyle w:val="ListParagraph"/>
              <w:ind w:left="0"/>
              <w:rPr>
                <w:rFonts w:cstheme="minorHAnsi"/>
                <w:i/>
              </w:rPr>
            </w:pPr>
          </w:p>
        </w:tc>
      </w:tr>
      <w:tr w:rsidR="00CB6012" w:rsidRPr="00BB5553" w14:paraId="124B285C" w14:textId="77777777" w:rsidTr="00CB6012">
        <w:tc>
          <w:tcPr>
            <w:tcW w:w="4508" w:type="dxa"/>
          </w:tcPr>
          <w:p w14:paraId="4041038D" w14:textId="77777777" w:rsidR="00CB6012" w:rsidRDefault="00CB6012" w:rsidP="00CB6012">
            <w:pPr>
              <w:spacing w:line="256" w:lineRule="auto"/>
            </w:pPr>
            <w:r>
              <w:t xml:space="preserve">PwC provide a macro-enabled spreadsheet for charities that has been enabling us to submit our returns. Will this </w:t>
            </w:r>
            <w:proofErr w:type="gramStart"/>
            <w:r>
              <w:t>still remain</w:t>
            </w:r>
            <w:proofErr w:type="gramEnd"/>
            <w:r>
              <w:t xml:space="preserve"> acceptable?</w:t>
            </w:r>
          </w:p>
          <w:p w14:paraId="5D7172AC" w14:textId="77777777" w:rsidR="00CB6012" w:rsidRDefault="00CB6012" w:rsidP="00CB6012">
            <w:pPr>
              <w:spacing w:line="256" w:lineRule="auto"/>
            </w:pPr>
            <w:r>
              <w:t xml:space="preserve">We have a very complex partial exemption calculation which is performed by analysing data downloaded from the accounting software into excel.  There are numerous linked spreadsheets feeding into a main spreadsheet which calculates the VAT amounts for the return.  Our software is not API enabled, therefore bridging software is used to comply with MTD which is linked to main spreadsheet.  If the process is </w:t>
            </w:r>
            <w:proofErr w:type="gramStart"/>
            <w:r>
              <w:t>mapped</w:t>
            </w:r>
            <w:proofErr w:type="gramEnd"/>
            <w:r>
              <w:t xml:space="preserve"> can it be reviewed by HMRC to assess compliance and highlight where weaknesses may be?</w:t>
            </w:r>
          </w:p>
          <w:p w14:paraId="50D32539" w14:textId="77777777" w:rsidR="00CB6012" w:rsidRDefault="00CB6012" w:rsidP="00CB6012">
            <w:pPr>
              <w:spacing w:line="256" w:lineRule="auto"/>
            </w:pPr>
          </w:p>
        </w:tc>
        <w:tc>
          <w:tcPr>
            <w:tcW w:w="5274" w:type="dxa"/>
          </w:tcPr>
          <w:p w14:paraId="40E7AC13" w14:textId="77777777" w:rsidR="00CB6012" w:rsidRDefault="00CB6012" w:rsidP="00CB6012">
            <w:pPr>
              <w:rPr>
                <w:i/>
              </w:rPr>
            </w:pPr>
            <w:r>
              <w:rPr>
                <w:i/>
              </w:rPr>
              <w:t xml:space="preserve">Yes, this should be acceptable if the information is being provided to HMRC via an Application Programming Interface (API). </w:t>
            </w:r>
          </w:p>
          <w:p w14:paraId="72E594B2" w14:textId="77777777" w:rsidR="00CB6012" w:rsidRDefault="00CB6012" w:rsidP="00CB6012">
            <w:pPr>
              <w:pStyle w:val="ListParagraph"/>
              <w:ind w:left="0"/>
              <w:rPr>
                <w:i/>
              </w:rPr>
            </w:pPr>
            <w:r>
              <w:rPr>
                <w:i/>
              </w:rPr>
              <w:t xml:space="preserve">The process described above is MTD VAT compliant. We do not think it will be necessary to review the process map for MTD VAT purposes. </w:t>
            </w:r>
          </w:p>
          <w:p w14:paraId="4F47D88B" w14:textId="77777777" w:rsidR="00CB6012" w:rsidRDefault="00CB6012" w:rsidP="00CB6012">
            <w:pPr>
              <w:pStyle w:val="ListParagraph"/>
              <w:ind w:left="0"/>
              <w:rPr>
                <w:i/>
              </w:rPr>
            </w:pPr>
          </w:p>
        </w:tc>
      </w:tr>
      <w:tr w:rsidR="00CB6012" w:rsidRPr="00BB5553" w14:paraId="7C1C6AA2" w14:textId="77777777" w:rsidTr="00CB6012">
        <w:tc>
          <w:tcPr>
            <w:tcW w:w="4508" w:type="dxa"/>
          </w:tcPr>
          <w:p w14:paraId="1A0A11CD" w14:textId="6F4703E6" w:rsidR="00CB6012" w:rsidRDefault="00CB6012" w:rsidP="00CB6012">
            <w:pPr>
              <w:spacing w:line="256" w:lineRule="auto"/>
            </w:pPr>
            <w:r>
              <w:t xml:space="preserve">We have a piece of invoicing software that exports data as csv but in a slightly different format than our main accounting software requires, so it </w:t>
            </w:r>
            <w:proofErr w:type="gramStart"/>
            <w:r>
              <w:t>has to</w:t>
            </w:r>
            <w:proofErr w:type="gramEnd"/>
            <w:r>
              <w:t xml:space="preserve"> be manually modified to be uploaded. According to the VAT notice this is not a digital link. Could you please clarify</w:t>
            </w:r>
          </w:p>
        </w:tc>
        <w:tc>
          <w:tcPr>
            <w:tcW w:w="5274" w:type="dxa"/>
          </w:tcPr>
          <w:p w14:paraId="4A7EC79A" w14:textId="6CCABA1C" w:rsidR="00CB6012" w:rsidRPr="00CB6012" w:rsidRDefault="00CB6012" w:rsidP="00CB6012">
            <w:pPr>
              <w:rPr>
                <w:i/>
              </w:rPr>
            </w:pPr>
            <w:r w:rsidRPr="00CB6012">
              <w:rPr>
                <w:i/>
              </w:rPr>
              <w:t>If you need to</w:t>
            </w:r>
            <w:r w:rsidRPr="00CB6012">
              <w:rPr>
                <w:i/>
              </w:rPr>
              <w:t xml:space="preserve"> make</w:t>
            </w:r>
            <w:r w:rsidRPr="00CB6012">
              <w:rPr>
                <w:i/>
              </w:rPr>
              <w:t xml:space="preserve"> manual adjustments to ensure a digital transfer can take place, as set out above, then this will be acceptable. </w:t>
            </w:r>
          </w:p>
          <w:p w14:paraId="0F599E59" w14:textId="77777777" w:rsidR="00CB6012" w:rsidRDefault="00CB6012" w:rsidP="00CB6012">
            <w:pPr>
              <w:rPr>
                <w:i/>
              </w:rPr>
            </w:pPr>
          </w:p>
        </w:tc>
      </w:tr>
      <w:tr w:rsidR="00CB6012" w:rsidRPr="00BB5553" w14:paraId="4924EC7F" w14:textId="77777777" w:rsidTr="00CB6012">
        <w:tc>
          <w:tcPr>
            <w:tcW w:w="4508" w:type="dxa"/>
          </w:tcPr>
          <w:p w14:paraId="05688B3F" w14:textId="77777777" w:rsidR="00CB6012" w:rsidRDefault="00CB6012" w:rsidP="00CB6012">
            <w:pPr>
              <w:spacing w:line="256" w:lineRule="auto"/>
            </w:pPr>
            <w:r>
              <w:lastRenderedPageBreak/>
              <w:t>We download excel reports from Eventbrite for tickets sold for events and registration fees.  Is this a digital link?</w:t>
            </w:r>
          </w:p>
          <w:p w14:paraId="6B1F4C5A" w14:textId="77777777" w:rsidR="00CB6012" w:rsidRDefault="00CB6012" w:rsidP="00CB6012">
            <w:pPr>
              <w:spacing w:line="256" w:lineRule="auto"/>
            </w:pPr>
          </w:p>
        </w:tc>
        <w:tc>
          <w:tcPr>
            <w:tcW w:w="5274" w:type="dxa"/>
          </w:tcPr>
          <w:p w14:paraId="00CF4F28" w14:textId="77777777" w:rsidR="00CB6012" w:rsidRPr="00CB6012" w:rsidRDefault="00CB6012" w:rsidP="00CB6012">
            <w:pPr>
              <w:rPr>
                <w:i/>
              </w:rPr>
            </w:pPr>
            <w:r w:rsidRPr="00CB6012">
              <w:rPr>
                <w:i/>
              </w:rPr>
              <w:t xml:space="preserve">Yes, this would be classified as a digital link. </w:t>
            </w:r>
          </w:p>
          <w:p w14:paraId="2AC0FFE0" w14:textId="77777777" w:rsidR="00CB6012" w:rsidRPr="00CB6012" w:rsidRDefault="00CB6012" w:rsidP="00CB6012">
            <w:pPr>
              <w:rPr>
                <w:i/>
              </w:rPr>
            </w:pPr>
          </w:p>
        </w:tc>
      </w:tr>
      <w:tr w:rsidR="00CB6012" w:rsidRPr="00BB5553" w14:paraId="705361AC" w14:textId="77777777" w:rsidTr="00CB6012">
        <w:tc>
          <w:tcPr>
            <w:tcW w:w="4508" w:type="dxa"/>
          </w:tcPr>
          <w:p w14:paraId="6910795C" w14:textId="77777777" w:rsidR="00CB6012" w:rsidRDefault="00CB6012" w:rsidP="00CB6012">
            <w:pPr>
              <w:spacing w:line="256" w:lineRule="auto"/>
            </w:pPr>
            <w:r>
              <w:t>As a small RSPCA branch with turnover below threshold, most of our income is exempt, but we do have adoption income from donated animals which are 0% rated - are we eligible for voluntary registration for VAT? Upgrading our systems from a simple spreadsheet would be expensive and time consuming but we are presently able to reclaim VAT on vet fees for our 0% rate donated animals.</w:t>
            </w:r>
          </w:p>
          <w:p w14:paraId="382AD5C7" w14:textId="77777777" w:rsidR="00CB6012" w:rsidRDefault="00CB6012" w:rsidP="00CB6012">
            <w:pPr>
              <w:spacing w:line="256" w:lineRule="auto"/>
            </w:pPr>
          </w:p>
        </w:tc>
        <w:tc>
          <w:tcPr>
            <w:tcW w:w="5274" w:type="dxa"/>
          </w:tcPr>
          <w:p w14:paraId="06BE1522" w14:textId="77777777" w:rsidR="00CB6012" w:rsidRDefault="00CB6012" w:rsidP="00CB6012">
            <w:pPr>
              <w:pStyle w:val="ListParagraph"/>
              <w:ind w:left="0"/>
              <w:rPr>
                <w:i/>
              </w:rPr>
            </w:pPr>
            <w:r>
              <w:rPr>
                <w:i/>
              </w:rPr>
              <w:t>From the statement the RSPCA branch is making taxable supplies (zero rated) and therefore may register for VAT with HMRC. If you are voluntarily registering with taxable turnover below £85,000 then you will not be mandated to follow MTD VAT rules until 1 April 2022.</w:t>
            </w:r>
          </w:p>
          <w:p w14:paraId="453D7452" w14:textId="77777777" w:rsidR="00CB6012" w:rsidRDefault="00CB6012" w:rsidP="00CB6012">
            <w:pPr>
              <w:pStyle w:val="ListParagraph"/>
              <w:ind w:left="0"/>
              <w:rPr>
                <w:i/>
              </w:rPr>
            </w:pPr>
          </w:p>
          <w:p w14:paraId="61A445C1" w14:textId="77777777" w:rsidR="00CB6012" w:rsidRDefault="00CB6012" w:rsidP="00CB6012">
            <w:pPr>
              <w:pStyle w:val="ListParagraph"/>
              <w:ind w:left="0"/>
              <w:rPr>
                <w:i/>
              </w:rPr>
            </w:pPr>
            <w:r>
              <w:rPr>
                <w:i/>
              </w:rPr>
              <w:t xml:space="preserve">Businesses operating under MTD VAT will need compatible software, as set out in the VAT Notice 700/22 under Section 4. This will not necessarily need to be an accounting package. </w:t>
            </w:r>
          </w:p>
          <w:p w14:paraId="7614E064" w14:textId="77777777" w:rsidR="00CB6012" w:rsidRDefault="00CB6012" w:rsidP="00CB6012">
            <w:pPr>
              <w:ind w:left="-60"/>
              <w:rPr>
                <w:i/>
              </w:rPr>
            </w:pPr>
            <w:r>
              <w:rPr>
                <w:i/>
              </w:rPr>
              <w:t xml:space="preserve">Businesses can use excel for Making Tax Digital VAT purposes. The excel spreadsheet can be connected to bridging software which will enable the </w:t>
            </w:r>
            <w:proofErr w:type="gramStart"/>
            <w:r>
              <w:rPr>
                <w:i/>
              </w:rPr>
              <w:t>9 box</w:t>
            </w:r>
            <w:proofErr w:type="gramEnd"/>
            <w:r>
              <w:rPr>
                <w:i/>
              </w:rPr>
              <w:t xml:space="preserve"> data to be sent to HMRC via an Application Programming Interface (API) connection. This is mentioned in the VAT Notice 700/22 under Section 4. Another alternative is to use API enabled spreadsheets that incorporate relevant Making Tax Digital APIs. These can either:</w:t>
            </w:r>
          </w:p>
          <w:p w14:paraId="19F15005" w14:textId="77777777" w:rsidR="00CB6012" w:rsidRDefault="00CB6012" w:rsidP="00CB6012">
            <w:pPr>
              <w:pStyle w:val="ListParagraph"/>
              <w:numPr>
                <w:ilvl w:val="0"/>
                <w:numId w:val="18"/>
              </w:numPr>
              <w:shd w:val="clear" w:color="auto" w:fill="FFFFFF"/>
              <w:spacing w:after="75"/>
              <w:ind w:left="240"/>
              <w:rPr>
                <w:i/>
              </w:rPr>
            </w:pPr>
            <w:r>
              <w:rPr>
                <w:i/>
              </w:rPr>
              <w:t xml:space="preserve">combine with accounting software to submit the required VAT information digitally to HMRC, and allow information to be sent back to the business digitally from </w:t>
            </w:r>
            <w:proofErr w:type="gramStart"/>
            <w:r>
              <w:rPr>
                <w:i/>
              </w:rPr>
              <w:t>HMRC</w:t>
            </w:r>
            <w:proofErr w:type="gramEnd"/>
          </w:p>
          <w:p w14:paraId="599794AD" w14:textId="77777777" w:rsidR="00CB6012" w:rsidRDefault="00CB6012" w:rsidP="00CB6012">
            <w:pPr>
              <w:pStyle w:val="ListParagraph"/>
              <w:numPr>
                <w:ilvl w:val="0"/>
                <w:numId w:val="18"/>
              </w:numPr>
              <w:shd w:val="clear" w:color="auto" w:fill="FFFFFF"/>
              <w:spacing w:after="75"/>
              <w:ind w:left="240"/>
              <w:rPr>
                <w:i/>
              </w:rPr>
            </w:pPr>
            <w:r>
              <w:rPr>
                <w:i/>
              </w:rPr>
              <w:t xml:space="preserve">be used to keep digital records and then directly submit the required VAT information digitally to </w:t>
            </w:r>
            <w:proofErr w:type="gramStart"/>
            <w:r>
              <w:rPr>
                <w:i/>
              </w:rPr>
              <w:t>HMRC</w:t>
            </w:r>
            <w:proofErr w:type="gramEnd"/>
          </w:p>
          <w:p w14:paraId="272F87EB" w14:textId="77777777" w:rsidR="00CB6012" w:rsidRDefault="00CB6012" w:rsidP="00CB6012">
            <w:pPr>
              <w:ind w:left="-60"/>
              <w:rPr>
                <w:i/>
              </w:rPr>
            </w:pPr>
            <w:r>
              <w:rPr>
                <w:i/>
              </w:rPr>
              <w:t xml:space="preserve">There are currently over 500 products on the MTD VAT software choices page to support businesses, which also include some free products. </w:t>
            </w:r>
          </w:p>
          <w:p w14:paraId="657DF864" w14:textId="77777777" w:rsidR="00CB6012" w:rsidRDefault="00CB6012" w:rsidP="00CB6012">
            <w:pPr>
              <w:ind w:left="-60"/>
              <w:rPr>
                <w:i/>
              </w:rPr>
            </w:pPr>
            <w:r>
              <w:rPr>
                <w:i/>
              </w:rPr>
              <w:t xml:space="preserve">Businesses can consider applying for a digital links deadline extension for additional time to set up their MTD VAT systems. Details about the application process and criteria are set out in section 4.2.1.3 of the VAT Notice 700/22. Each application is considered on a </w:t>
            </w:r>
            <w:proofErr w:type="gramStart"/>
            <w:r>
              <w:rPr>
                <w:i/>
              </w:rPr>
              <w:t>case by case</w:t>
            </w:r>
            <w:proofErr w:type="gramEnd"/>
            <w:r>
              <w:rPr>
                <w:i/>
              </w:rPr>
              <w:t xml:space="preserve"> basis. </w:t>
            </w:r>
          </w:p>
          <w:p w14:paraId="5E57FB5F" w14:textId="4D3F4EA1" w:rsidR="00CB6012" w:rsidRPr="00CB6012" w:rsidRDefault="00CB6012" w:rsidP="00CB6012">
            <w:pPr>
              <w:pStyle w:val="ListParagraph"/>
              <w:ind w:left="0"/>
              <w:rPr>
                <w:i/>
              </w:rPr>
            </w:pPr>
            <w:r>
              <w:rPr>
                <w:i/>
              </w:rPr>
              <w:t xml:space="preserve"> </w:t>
            </w:r>
          </w:p>
        </w:tc>
      </w:tr>
    </w:tbl>
    <w:p w14:paraId="326B6D90" w14:textId="1FCC508F" w:rsidR="00450D13" w:rsidRDefault="00450D13" w:rsidP="00954AFF">
      <w:pPr>
        <w:pStyle w:val="Default"/>
        <w:rPr>
          <w:rFonts w:asciiTheme="minorHAnsi" w:hAnsiTheme="minorHAnsi" w:cstheme="minorBidi"/>
          <w:color w:val="auto"/>
          <w:sz w:val="22"/>
          <w:szCs w:val="22"/>
        </w:rPr>
      </w:pPr>
    </w:p>
    <w:p w14:paraId="4FEA4E58" w14:textId="77777777" w:rsidR="00CB6012" w:rsidRDefault="00CB6012" w:rsidP="00CB6012">
      <w:pPr>
        <w:pStyle w:val="ListParagraph"/>
      </w:pPr>
    </w:p>
    <w:p w14:paraId="20F93328" w14:textId="77777777" w:rsidR="00CB6012" w:rsidRDefault="00CB6012" w:rsidP="00CB6012">
      <w:pPr>
        <w:pStyle w:val="ListParagraph"/>
      </w:pPr>
    </w:p>
    <w:p w14:paraId="2767DBCA" w14:textId="77777777" w:rsidR="00CB6012" w:rsidRDefault="00CB6012" w:rsidP="00CB6012">
      <w:pPr>
        <w:pStyle w:val="ListParagraph"/>
      </w:pPr>
    </w:p>
    <w:p w14:paraId="61689FD4" w14:textId="1B003B09" w:rsidR="00CB6012" w:rsidRDefault="00CB6012" w:rsidP="00CB6012">
      <w:pPr>
        <w:pStyle w:val="ListParagraph"/>
      </w:pPr>
    </w:p>
    <w:p w14:paraId="48B32BB2" w14:textId="77777777" w:rsidR="00CB6012" w:rsidRDefault="00CB6012" w:rsidP="00CB6012">
      <w:pPr>
        <w:pStyle w:val="ListParagraph"/>
      </w:pPr>
    </w:p>
    <w:p w14:paraId="1CA018EB" w14:textId="77777777" w:rsidR="00CB6012" w:rsidRDefault="00CB6012" w:rsidP="00CB6012">
      <w:pPr>
        <w:pStyle w:val="ListParagraph"/>
      </w:pPr>
    </w:p>
    <w:p w14:paraId="45DC94E8" w14:textId="77777777" w:rsidR="00CB6012" w:rsidRDefault="00CB6012" w:rsidP="00CB6012">
      <w:pPr>
        <w:pStyle w:val="ListParagraph"/>
        <w:rPr>
          <w:i/>
        </w:rPr>
      </w:pPr>
    </w:p>
    <w:p w14:paraId="7C3B3F22" w14:textId="77777777" w:rsidR="00CB6012" w:rsidRPr="00BB5553" w:rsidRDefault="00CB6012" w:rsidP="00954AFF">
      <w:pPr>
        <w:pStyle w:val="Default"/>
        <w:rPr>
          <w:rFonts w:asciiTheme="minorHAnsi" w:hAnsiTheme="minorHAnsi" w:cstheme="minorBidi"/>
          <w:color w:val="auto"/>
          <w:sz w:val="22"/>
          <w:szCs w:val="22"/>
        </w:rPr>
      </w:pPr>
    </w:p>
    <w:sectPr w:rsidR="00CB6012" w:rsidRPr="00BB5553" w:rsidSect="00CB6012">
      <w:headerReference w:type="even" r:id="rId15"/>
      <w:headerReference w:type="default" r:id="rId16"/>
      <w:footerReference w:type="even" r:id="rId17"/>
      <w:footerReference w:type="default" r:id="rId18"/>
      <w:headerReference w:type="first" r:id="rId19"/>
      <w:footerReference w:type="first" r:id="rId20"/>
      <w:pgSz w:w="11906" w:h="16838"/>
      <w:pgMar w:top="1135"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B67EA" w14:textId="77777777" w:rsidR="00F0544B" w:rsidRDefault="00F0544B" w:rsidP="001A357E">
      <w:pPr>
        <w:spacing w:after="0" w:line="240" w:lineRule="auto"/>
      </w:pPr>
      <w:r>
        <w:separator/>
      </w:r>
    </w:p>
  </w:endnote>
  <w:endnote w:type="continuationSeparator" w:id="0">
    <w:p w14:paraId="12F13044" w14:textId="77777777" w:rsidR="00F0544B" w:rsidRDefault="00F0544B" w:rsidP="001A357E">
      <w:pPr>
        <w:spacing w:after="0" w:line="240" w:lineRule="auto"/>
      </w:pPr>
      <w:r>
        <w:continuationSeparator/>
      </w:r>
    </w:p>
  </w:endnote>
  <w:endnote w:type="continuationNotice" w:id="1">
    <w:p w14:paraId="17E2FC32" w14:textId="77777777" w:rsidR="00F0544B" w:rsidRDefault="00F054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0BB4" w14:textId="77777777" w:rsidR="00B7008F" w:rsidRDefault="00B700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8F97C" w14:textId="77777777" w:rsidR="001A357E" w:rsidRDefault="001A357E">
    <w:pPr>
      <w:pStyle w:val="Footer"/>
    </w:pPr>
    <w:r>
      <w:rPr>
        <w:noProof/>
      </w:rPr>
      <mc:AlternateContent>
        <mc:Choice Requires="wps">
          <w:drawing>
            <wp:anchor distT="0" distB="0" distL="114300" distR="114300" simplePos="0" relativeHeight="251658240" behindDoc="0" locked="0" layoutInCell="0" allowOverlap="1" wp14:anchorId="1B91D0E5" wp14:editId="44079857">
              <wp:simplePos x="0" y="0"/>
              <wp:positionH relativeFrom="page">
                <wp:posOffset>0</wp:posOffset>
              </wp:positionH>
              <wp:positionV relativeFrom="page">
                <wp:posOffset>10227945</wp:posOffset>
              </wp:positionV>
              <wp:extent cx="7560310" cy="273050"/>
              <wp:effectExtent l="0" t="0" r="0" b="12700"/>
              <wp:wrapNone/>
              <wp:docPr id="1" name="MSIPCMac23426792a1f17bcc40d99e"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6C0F74" w14:textId="77777777" w:rsidR="001A357E" w:rsidRPr="001A357E" w:rsidRDefault="001A357E" w:rsidP="001A357E">
                          <w:pPr>
                            <w:spacing w:after="0"/>
                            <w:jc w:val="center"/>
                            <w:rPr>
                              <w:rFonts w:ascii="Calibri" w:hAnsi="Calibri" w:cs="Calibri"/>
                              <w:color w:val="000000"/>
                              <w:sz w:val="20"/>
                            </w:rPr>
                          </w:pPr>
                          <w:r w:rsidRPr="001A357E">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91D0E5" id="_x0000_t202" coordsize="21600,21600" o:spt="202" path="m,l,21600r21600,l21600,xe">
              <v:stroke joinstyle="miter"/>
              <v:path gradientshapeok="t" o:connecttype="rect"/>
            </v:shapetype>
            <v:shape id="MSIPCMac23426792a1f17bcc40d99e"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" o:allowincell="f" filled="f" stroked="f" strokeweight=".5pt">
              <v:textbox inset=",0,,0">
                <w:txbxContent>
                  <w:p w14:paraId="726C0F74" w14:textId="77777777" w:rsidR="001A357E" w:rsidRPr="001A357E" w:rsidRDefault="001A357E" w:rsidP="001A357E">
                    <w:pPr>
                      <w:spacing w:after="0"/>
                      <w:jc w:val="center"/>
                      <w:rPr>
                        <w:rFonts w:ascii="Calibri" w:hAnsi="Calibri" w:cs="Calibri"/>
                        <w:color w:val="000000"/>
                        <w:sz w:val="20"/>
                      </w:rPr>
                    </w:pPr>
                    <w:r w:rsidRPr="001A357E">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33156" w14:textId="77777777" w:rsidR="00B7008F" w:rsidRDefault="00B70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E4728" w14:textId="77777777" w:rsidR="00F0544B" w:rsidRDefault="00F0544B" w:rsidP="001A357E">
      <w:pPr>
        <w:spacing w:after="0" w:line="240" w:lineRule="auto"/>
      </w:pPr>
      <w:r>
        <w:separator/>
      </w:r>
    </w:p>
  </w:footnote>
  <w:footnote w:type="continuationSeparator" w:id="0">
    <w:p w14:paraId="1DA54A3F" w14:textId="77777777" w:rsidR="00F0544B" w:rsidRDefault="00F0544B" w:rsidP="001A357E">
      <w:pPr>
        <w:spacing w:after="0" w:line="240" w:lineRule="auto"/>
      </w:pPr>
      <w:r>
        <w:continuationSeparator/>
      </w:r>
    </w:p>
  </w:footnote>
  <w:footnote w:type="continuationNotice" w:id="1">
    <w:p w14:paraId="41EC582E" w14:textId="77777777" w:rsidR="00F0544B" w:rsidRDefault="00F054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D4DB9" w14:textId="77777777" w:rsidR="00B7008F" w:rsidRDefault="00B700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2D5C" w14:textId="77777777" w:rsidR="00B7008F" w:rsidRDefault="00B700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8C8AF" w14:textId="77777777" w:rsidR="00B7008F" w:rsidRDefault="00B70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81D36"/>
    <w:multiLevelType w:val="hybridMultilevel"/>
    <w:tmpl w:val="EEE8E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7410CC"/>
    <w:multiLevelType w:val="hybridMultilevel"/>
    <w:tmpl w:val="1548ABB0"/>
    <w:lvl w:ilvl="0" w:tplc="08090001">
      <w:start w:val="1"/>
      <w:numFmt w:val="bullet"/>
      <w:lvlText w:val=""/>
      <w:lvlJc w:val="left"/>
      <w:pPr>
        <w:ind w:left="660" w:hanging="360"/>
      </w:pPr>
      <w:rPr>
        <w:rFonts w:ascii="Symbol" w:hAnsi="Symbol" w:hint="default"/>
      </w:rPr>
    </w:lvl>
    <w:lvl w:ilvl="1" w:tplc="08090003">
      <w:start w:val="1"/>
      <w:numFmt w:val="bullet"/>
      <w:lvlText w:val="o"/>
      <w:lvlJc w:val="left"/>
      <w:pPr>
        <w:ind w:left="1380" w:hanging="360"/>
      </w:pPr>
      <w:rPr>
        <w:rFonts w:ascii="Courier New" w:hAnsi="Courier New" w:cs="Courier New" w:hint="default"/>
      </w:rPr>
    </w:lvl>
    <w:lvl w:ilvl="2" w:tplc="08090005">
      <w:start w:val="1"/>
      <w:numFmt w:val="bullet"/>
      <w:lvlText w:val=""/>
      <w:lvlJc w:val="left"/>
      <w:pPr>
        <w:ind w:left="2100" w:hanging="360"/>
      </w:pPr>
      <w:rPr>
        <w:rFonts w:ascii="Wingdings" w:hAnsi="Wingdings" w:hint="default"/>
      </w:rPr>
    </w:lvl>
    <w:lvl w:ilvl="3" w:tplc="08090001">
      <w:start w:val="1"/>
      <w:numFmt w:val="bullet"/>
      <w:lvlText w:val=""/>
      <w:lvlJc w:val="left"/>
      <w:pPr>
        <w:ind w:left="2820" w:hanging="360"/>
      </w:pPr>
      <w:rPr>
        <w:rFonts w:ascii="Symbol" w:hAnsi="Symbol" w:hint="default"/>
      </w:rPr>
    </w:lvl>
    <w:lvl w:ilvl="4" w:tplc="08090003">
      <w:start w:val="1"/>
      <w:numFmt w:val="bullet"/>
      <w:lvlText w:val="o"/>
      <w:lvlJc w:val="left"/>
      <w:pPr>
        <w:ind w:left="3540" w:hanging="360"/>
      </w:pPr>
      <w:rPr>
        <w:rFonts w:ascii="Courier New" w:hAnsi="Courier New" w:cs="Courier New" w:hint="default"/>
      </w:rPr>
    </w:lvl>
    <w:lvl w:ilvl="5" w:tplc="08090005">
      <w:start w:val="1"/>
      <w:numFmt w:val="bullet"/>
      <w:lvlText w:val=""/>
      <w:lvlJc w:val="left"/>
      <w:pPr>
        <w:ind w:left="4260" w:hanging="360"/>
      </w:pPr>
      <w:rPr>
        <w:rFonts w:ascii="Wingdings" w:hAnsi="Wingdings" w:hint="default"/>
      </w:rPr>
    </w:lvl>
    <w:lvl w:ilvl="6" w:tplc="08090001">
      <w:start w:val="1"/>
      <w:numFmt w:val="bullet"/>
      <w:lvlText w:val=""/>
      <w:lvlJc w:val="left"/>
      <w:pPr>
        <w:ind w:left="4980" w:hanging="360"/>
      </w:pPr>
      <w:rPr>
        <w:rFonts w:ascii="Symbol" w:hAnsi="Symbol" w:hint="default"/>
      </w:rPr>
    </w:lvl>
    <w:lvl w:ilvl="7" w:tplc="08090003">
      <w:start w:val="1"/>
      <w:numFmt w:val="bullet"/>
      <w:lvlText w:val="o"/>
      <w:lvlJc w:val="left"/>
      <w:pPr>
        <w:ind w:left="5700" w:hanging="360"/>
      </w:pPr>
      <w:rPr>
        <w:rFonts w:ascii="Courier New" w:hAnsi="Courier New" w:cs="Courier New" w:hint="default"/>
      </w:rPr>
    </w:lvl>
    <w:lvl w:ilvl="8" w:tplc="08090005">
      <w:start w:val="1"/>
      <w:numFmt w:val="bullet"/>
      <w:lvlText w:val=""/>
      <w:lvlJc w:val="left"/>
      <w:pPr>
        <w:ind w:left="6420" w:hanging="360"/>
      </w:pPr>
      <w:rPr>
        <w:rFonts w:ascii="Wingdings" w:hAnsi="Wingdings" w:hint="default"/>
      </w:rPr>
    </w:lvl>
  </w:abstractNum>
  <w:abstractNum w:abstractNumId="2" w15:restartNumberingAfterBreak="0">
    <w:nsid w:val="22EE361D"/>
    <w:multiLevelType w:val="hybridMultilevel"/>
    <w:tmpl w:val="EEE8E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A27CA4"/>
    <w:multiLevelType w:val="hybridMultilevel"/>
    <w:tmpl w:val="EEE8E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434D51"/>
    <w:multiLevelType w:val="hybridMultilevel"/>
    <w:tmpl w:val="EEE8E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9F35E5"/>
    <w:multiLevelType w:val="hybridMultilevel"/>
    <w:tmpl w:val="EEE8E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4C7784"/>
    <w:multiLevelType w:val="hybridMultilevel"/>
    <w:tmpl w:val="91E4633C"/>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7" w15:restartNumberingAfterBreak="0">
    <w:nsid w:val="3FB12880"/>
    <w:multiLevelType w:val="hybridMultilevel"/>
    <w:tmpl w:val="D91A5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895644"/>
    <w:multiLevelType w:val="hybridMultilevel"/>
    <w:tmpl w:val="EEE8E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205D4B"/>
    <w:multiLevelType w:val="multilevel"/>
    <w:tmpl w:val="83F02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2B0396"/>
    <w:multiLevelType w:val="hybridMultilevel"/>
    <w:tmpl w:val="EEE8E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D35A0D"/>
    <w:multiLevelType w:val="hybridMultilevel"/>
    <w:tmpl w:val="EEE8E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20A1F31"/>
    <w:multiLevelType w:val="hybridMultilevel"/>
    <w:tmpl w:val="EEE8E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B278EA"/>
    <w:multiLevelType w:val="hybridMultilevel"/>
    <w:tmpl w:val="E4284F0E"/>
    <w:lvl w:ilvl="0" w:tplc="1B5C0250">
      <w:start w:val="1"/>
      <w:numFmt w:val="bullet"/>
      <w:lvlText w:val=""/>
      <w:lvlJc w:val="left"/>
      <w:pPr>
        <w:tabs>
          <w:tab w:val="num" w:pos="720"/>
        </w:tabs>
        <w:ind w:left="720" w:hanging="360"/>
      </w:pPr>
      <w:rPr>
        <w:rFonts w:ascii="Wingdings" w:hAnsi="Wingdings" w:hint="default"/>
      </w:rPr>
    </w:lvl>
    <w:lvl w:ilvl="1" w:tplc="16A8A896" w:tentative="1">
      <w:start w:val="1"/>
      <w:numFmt w:val="bullet"/>
      <w:lvlText w:val=""/>
      <w:lvlJc w:val="left"/>
      <w:pPr>
        <w:tabs>
          <w:tab w:val="num" w:pos="1440"/>
        </w:tabs>
        <w:ind w:left="1440" w:hanging="360"/>
      </w:pPr>
      <w:rPr>
        <w:rFonts w:ascii="Wingdings" w:hAnsi="Wingdings" w:hint="default"/>
      </w:rPr>
    </w:lvl>
    <w:lvl w:ilvl="2" w:tplc="180E152A" w:tentative="1">
      <w:start w:val="1"/>
      <w:numFmt w:val="bullet"/>
      <w:lvlText w:val=""/>
      <w:lvlJc w:val="left"/>
      <w:pPr>
        <w:tabs>
          <w:tab w:val="num" w:pos="2160"/>
        </w:tabs>
        <w:ind w:left="2160" w:hanging="360"/>
      </w:pPr>
      <w:rPr>
        <w:rFonts w:ascii="Wingdings" w:hAnsi="Wingdings" w:hint="default"/>
      </w:rPr>
    </w:lvl>
    <w:lvl w:ilvl="3" w:tplc="42E83D44" w:tentative="1">
      <w:start w:val="1"/>
      <w:numFmt w:val="bullet"/>
      <w:lvlText w:val=""/>
      <w:lvlJc w:val="left"/>
      <w:pPr>
        <w:tabs>
          <w:tab w:val="num" w:pos="2880"/>
        </w:tabs>
        <w:ind w:left="2880" w:hanging="360"/>
      </w:pPr>
      <w:rPr>
        <w:rFonts w:ascii="Wingdings" w:hAnsi="Wingdings" w:hint="default"/>
      </w:rPr>
    </w:lvl>
    <w:lvl w:ilvl="4" w:tplc="B4607816" w:tentative="1">
      <w:start w:val="1"/>
      <w:numFmt w:val="bullet"/>
      <w:lvlText w:val=""/>
      <w:lvlJc w:val="left"/>
      <w:pPr>
        <w:tabs>
          <w:tab w:val="num" w:pos="3600"/>
        </w:tabs>
        <w:ind w:left="3600" w:hanging="360"/>
      </w:pPr>
      <w:rPr>
        <w:rFonts w:ascii="Wingdings" w:hAnsi="Wingdings" w:hint="default"/>
      </w:rPr>
    </w:lvl>
    <w:lvl w:ilvl="5" w:tplc="76DE8BE4" w:tentative="1">
      <w:start w:val="1"/>
      <w:numFmt w:val="bullet"/>
      <w:lvlText w:val=""/>
      <w:lvlJc w:val="left"/>
      <w:pPr>
        <w:tabs>
          <w:tab w:val="num" w:pos="4320"/>
        </w:tabs>
        <w:ind w:left="4320" w:hanging="360"/>
      </w:pPr>
      <w:rPr>
        <w:rFonts w:ascii="Wingdings" w:hAnsi="Wingdings" w:hint="default"/>
      </w:rPr>
    </w:lvl>
    <w:lvl w:ilvl="6" w:tplc="1AD856E6" w:tentative="1">
      <w:start w:val="1"/>
      <w:numFmt w:val="bullet"/>
      <w:lvlText w:val=""/>
      <w:lvlJc w:val="left"/>
      <w:pPr>
        <w:tabs>
          <w:tab w:val="num" w:pos="5040"/>
        </w:tabs>
        <w:ind w:left="5040" w:hanging="360"/>
      </w:pPr>
      <w:rPr>
        <w:rFonts w:ascii="Wingdings" w:hAnsi="Wingdings" w:hint="default"/>
      </w:rPr>
    </w:lvl>
    <w:lvl w:ilvl="7" w:tplc="5150C7D6" w:tentative="1">
      <w:start w:val="1"/>
      <w:numFmt w:val="bullet"/>
      <w:lvlText w:val=""/>
      <w:lvlJc w:val="left"/>
      <w:pPr>
        <w:tabs>
          <w:tab w:val="num" w:pos="5760"/>
        </w:tabs>
        <w:ind w:left="5760" w:hanging="360"/>
      </w:pPr>
      <w:rPr>
        <w:rFonts w:ascii="Wingdings" w:hAnsi="Wingdings" w:hint="default"/>
      </w:rPr>
    </w:lvl>
    <w:lvl w:ilvl="8" w:tplc="E4DED7F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C45334"/>
    <w:multiLevelType w:val="hybridMultilevel"/>
    <w:tmpl w:val="EEE8E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7E25CA"/>
    <w:multiLevelType w:val="hybridMultilevel"/>
    <w:tmpl w:val="EEE8E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1E66FA"/>
    <w:multiLevelType w:val="hybridMultilevel"/>
    <w:tmpl w:val="635880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72254356"/>
    <w:multiLevelType w:val="hybridMultilevel"/>
    <w:tmpl w:val="EEE8E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5606EA"/>
    <w:multiLevelType w:val="hybridMultilevel"/>
    <w:tmpl w:val="EEE8E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BD5C65"/>
    <w:multiLevelType w:val="hybridMultilevel"/>
    <w:tmpl w:val="EEE8E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DB1D2F"/>
    <w:multiLevelType w:val="hybridMultilevel"/>
    <w:tmpl w:val="994A54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0"/>
  </w:num>
  <w:num w:numId="3">
    <w:abstractNumId w:val="12"/>
  </w:num>
  <w:num w:numId="4">
    <w:abstractNumId w:val="8"/>
  </w:num>
  <w:num w:numId="5">
    <w:abstractNumId w:val="3"/>
  </w:num>
  <w:num w:numId="6">
    <w:abstractNumId w:val="4"/>
  </w:num>
  <w:num w:numId="7">
    <w:abstractNumId w:val="10"/>
  </w:num>
  <w:num w:numId="8">
    <w:abstractNumId w:val="19"/>
  </w:num>
  <w:num w:numId="9">
    <w:abstractNumId w:val="11"/>
  </w:num>
  <w:num w:numId="10">
    <w:abstractNumId w:val="0"/>
  </w:num>
  <w:num w:numId="11">
    <w:abstractNumId w:val="2"/>
  </w:num>
  <w:num w:numId="12">
    <w:abstractNumId w:val="17"/>
  </w:num>
  <w:num w:numId="13">
    <w:abstractNumId w:val="5"/>
  </w:num>
  <w:num w:numId="14">
    <w:abstractNumId w:val="15"/>
  </w:num>
  <w:num w:numId="15">
    <w:abstractNumId w:val="14"/>
  </w:num>
  <w:num w:numId="16">
    <w:abstractNumId w:val="13"/>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lvlOverride w:ilvl="2"/>
    <w:lvlOverride w:ilvl="3"/>
    <w:lvlOverride w:ilvl="4"/>
    <w:lvlOverride w:ilvl="5"/>
    <w:lvlOverride w:ilvl="6"/>
    <w:lvlOverride w:ilvl="7"/>
    <w:lvlOverride w:ilvl="8"/>
  </w:num>
  <w:num w:numId="19">
    <w:abstractNumId w:val="1"/>
  </w:num>
  <w:num w:numId="20">
    <w:abstractNumId w:val="6"/>
  </w:num>
  <w:num w:numId="21">
    <w:abstractNumId w:val="9"/>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C02"/>
    <w:rsid w:val="00001111"/>
    <w:rsid w:val="00004CD7"/>
    <w:rsid w:val="00020ED2"/>
    <w:rsid w:val="00042334"/>
    <w:rsid w:val="0005097F"/>
    <w:rsid w:val="00052BF3"/>
    <w:rsid w:val="00057C62"/>
    <w:rsid w:val="0007623A"/>
    <w:rsid w:val="00081E5B"/>
    <w:rsid w:val="00083152"/>
    <w:rsid w:val="000A46CA"/>
    <w:rsid w:val="000D11EB"/>
    <w:rsid w:val="000D49E4"/>
    <w:rsid w:val="000D6F38"/>
    <w:rsid w:val="000F672A"/>
    <w:rsid w:val="00100907"/>
    <w:rsid w:val="001135F4"/>
    <w:rsid w:val="001135F9"/>
    <w:rsid w:val="00133A5C"/>
    <w:rsid w:val="00133C5D"/>
    <w:rsid w:val="00135339"/>
    <w:rsid w:val="001377F7"/>
    <w:rsid w:val="001546AB"/>
    <w:rsid w:val="0016005E"/>
    <w:rsid w:val="00166ECD"/>
    <w:rsid w:val="00192310"/>
    <w:rsid w:val="001971DD"/>
    <w:rsid w:val="001A0EC7"/>
    <w:rsid w:val="001A357E"/>
    <w:rsid w:val="001B13B6"/>
    <w:rsid w:val="001B3537"/>
    <w:rsid w:val="001B3936"/>
    <w:rsid w:val="001E411E"/>
    <w:rsid w:val="001E48BD"/>
    <w:rsid w:val="002133DB"/>
    <w:rsid w:val="00220D6F"/>
    <w:rsid w:val="00222B8B"/>
    <w:rsid w:val="002263EF"/>
    <w:rsid w:val="00257909"/>
    <w:rsid w:val="00262AAB"/>
    <w:rsid w:val="00270965"/>
    <w:rsid w:val="00273025"/>
    <w:rsid w:val="00291EA7"/>
    <w:rsid w:val="002A0034"/>
    <w:rsid w:val="002A46B8"/>
    <w:rsid w:val="002A649F"/>
    <w:rsid w:val="002A6DB4"/>
    <w:rsid w:val="002B3BCE"/>
    <w:rsid w:val="002B7A95"/>
    <w:rsid w:val="002F1355"/>
    <w:rsid w:val="002F17E1"/>
    <w:rsid w:val="002F27B1"/>
    <w:rsid w:val="003137E3"/>
    <w:rsid w:val="00330459"/>
    <w:rsid w:val="003620E4"/>
    <w:rsid w:val="00372A92"/>
    <w:rsid w:val="003870B3"/>
    <w:rsid w:val="00394B75"/>
    <w:rsid w:val="003A3AB9"/>
    <w:rsid w:val="003A69EB"/>
    <w:rsid w:val="003C1406"/>
    <w:rsid w:val="003D7A97"/>
    <w:rsid w:val="003E2E0D"/>
    <w:rsid w:val="003F0C60"/>
    <w:rsid w:val="003F71A3"/>
    <w:rsid w:val="00450081"/>
    <w:rsid w:val="00450D13"/>
    <w:rsid w:val="00484520"/>
    <w:rsid w:val="00484C96"/>
    <w:rsid w:val="004967DB"/>
    <w:rsid w:val="004A642D"/>
    <w:rsid w:val="004B13C6"/>
    <w:rsid w:val="004B29BC"/>
    <w:rsid w:val="004D5866"/>
    <w:rsid w:val="00510D07"/>
    <w:rsid w:val="005221A5"/>
    <w:rsid w:val="00523631"/>
    <w:rsid w:val="00536B2E"/>
    <w:rsid w:val="0055388D"/>
    <w:rsid w:val="00561855"/>
    <w:rsid w:val="00563AEC"/>
    <w:rsid w:val="005739DE"/>
    <w:rsid w:val="00585167"/>
    <w:rsid w:val="00593532"/>
    <w:rsid w:val="005A47F1"/>
    <w:rsid w:val="005C42B7"/>
    <w:rsid w:val="005C4BC4"/>
    <w:rsid w:val="005D37C4"/>
    <w:rsid w:val="0061238A"/>
    <w:rsid w:val="00613A9D"/>
    <w:rsid w:val="00626311"/>
    <w:rsid w:val="0064111B"/>
    <w:rsid w:val="006520E2"/>
    <w:rsid w:val="006650EC"/>
    <w:rsid w:val="00667DD7"/>
    <w:rsid w:val="00672325"/>
    <w:rsid w:val="00695EE3"/>
    <w:rsid w:val="00696DB0"/>
    <w:rsid w:val="00696E88"/>
    <w:rsid w:val="006B32C9"/>
    <w:rsid w:val="006B53F6"/>
    <w:rsid w:val="006C2CD3"/>
    <w:rsid w:val="006D0895"/>
    <w:rsid w:val="006D32B3"/>
    <w:rsid w:val="006E0425"/>
    <w:rsid w:val="006E78E9"/>
    <w:rsid w:val="00700A21"/>
    <w:rsid w:val="00723E74"/>
    <w:rsid w:val="00750BE9"/>
    <w:rsid w:val="00782093"/>
    <w:rsid w:val="00785DF1"/>
    <w:rsid w:val="007A0137"/>
    <w:rsid w:val="007A63B9"/>
    <w:rsid w:val="007E57E4"/>
    <w:rsid w:val="007F2733"/>
    <w:rsid w:val="007F3AEA"/>
    <w:rsid w:val="007F4812"/>
    <w:rsid w:val="008105A0"/>
    <w:rsid w:val="00830F95"/>
    <w:rsid w:val="00831EAF"/>
    <w:rsid w:val="00851718"/>
    <w:rsid w:val="00857414"/>
    <w:rsid w:val="008B20A1"/>
    <w:rsid w:val="008C5630"/>
    <w:rsid w:val="008C6D40"/>
    <w:rsid w:val="008D766C"/>
    <w:rsid w:val="008F6850"/>
    <w:rsid w:val="009074CF"/>
    <w:rsid w:val="009255D3"/>
    <w:rsid w:val="00935DB5"/>
    <w:rsid w:val="00936E02"/>
    <w:rsid w:val="00946F39"/>
    <w:rsid w:val="00954AFF"/>
    <w:rsid w:val="00987433"/>
    <w:rsid w:val="009939EF"/>
    <w:rsid w:val="00996FA8"/>
    <w:rsid w:val="009B29CE"/>
    <w:rsid w:val="009B37AB"/>
    <w:rsid w:val="009D0593"/>
    <w:rsid w:val="009F57F2"/>
    <w:rsid w:val="00A21D49"/>
    <w:rsid w:val="00A36587"/>
    <w:rsid w:val="00A41C57"/>
    <w:rsid w:val="00A44EF4"/>
    <w:rsid w:val="00A804B2"/>
    <w:rsid w:val="00A916CA"/>
    <w:rsid w:val="00AA2510"/>
    <w:rsid w:val="00AB0BD0"/>
    <w:rsid w:val="00AB1C30"/>
    <w:rsid w:val="00B06615"/>
    <w:rsid w:val="00B11581"/>
    <w:rsid w:val="00B21EED"/>
    <w:rsid w:val="00B47002"/>
    <w:rsid w:val="00B7008F"/>
    <w:rsid w:val="00B7156A"/>
    <w:rsid w:val="00BB5553"/>
    <w:rsid w:val="00BE6F11"/>
    <w:rsid w:val="00BF6444"/>
    <w:rsid w:val="00BF68F2"/>
    <w:rsid w:val="00C03ADA"/>
    <w:rsid w:val="00C32D1C"/>
    <w:rsid w:val="00C41E60"/>
    <w:rsid w:val="00C5046A"/>
    <w:rsid w:val="00C7047E"/>
    <w:rsid w:val="00C74BE5"/>
    <w:rsid w:val="00C76F1D"/>
    <w:rsid w:val="00C7784C"/>
    <w:rsid w:val="00CA3960"/>
    <w:rsid w:val="00CB6012"/>
    <w:rsid w:val="00CB71E0"/>
    <w:rsid w:val="00CD137C"/>
    <w:rsid w:val="00D0169E"/>
    <w:rsid w:val="00D132B9"/>
    <w:rsid w:val="00D13A3A"/>
    <w:rsid w:val="00D238A4"/>
    <w:rsid w:val="00D302E8"/>
    <w:rsid w:val="00D50DEA"/>
    <w:rsid w:val="00D554F6"/>
    <w:rsid w:val="00D636EF"/>
    <w:rsid w:val="00D95750"/>
    <w:rsid w:val="00D96B23"/>
    <w:rsid w:val="00DA5B67"/>
    <w:rsid w:val="00DB0477"/>
    <w:rsid w:val="00DE3864"/>
    <w:rsid w:val="00DE7B2D"/>
    <w:rsid w:val="00DF17EE"/>
    <w:rsid w:val="00DF2089"/>
    <w:rsid w:val="00E4161A"/>
    <w:rsid w:val="00E44ABC"/>
    <w:rsid w:val="00E5000C"/>
    <w:rsid w:val="00E510A7"/>
    <w:rsid w:val="00E711A4"/>
    <w:rsid w:val="00E72705"/>
    <w:rsid w:val="00E836EF"/>
    <w:rsid w:val="00E87156"/>
    <w:rsid w:val="00E93E44"/>
    <w:rsid w:val="00E9617E"/>
    <w:rsid w:val="00E96841"/>
    <w:rsid w:val="00EB2112"/>
    <w:rsid w:val="00EB4672"/>
    <w:rsid w:val="00EB7AA9"/>
    <w:rsid w:val="00EF0F71"/>
    <w:rsid w:val="00F03D57"/>
    <w:rsid w:val="00F0544B"/>
    <w:rsid w:val="00F056A1"/>
    <w:rsid w:val="00F101BC"/>
    <w:rsid w:val="00F24C02"/>
    <w:rsid w:val="00F25082"/>
    <w:rsid w:val="00F258F5"/>
    <w:rsid w:val="00F33E2C"/>
    <w:rsid w:val="00F833E4"/>
    <w:rsid w:val="00FB155F"/>
    <w:rsid w:val="00FB6C6B"/>
    <w:rsid w:val="00FC62B6"/>
    <w:rsid w:val="00FF40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40646"/>
  <w15:chartTrackingRefBased/>
  <w15:docId w15:val="{3FCEBA13-D2E7-45C9-89E6-17BFD44DE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24C02"/>
    <w:rPr>
      <w:sz w:val="16"/>
      <w:szCs w:val="16"/>
    </w:rPr>
  </w:style>
  <w:style w:type="paragraph" w:styleId="CommentText">
    <w:name w:val="annotation text"/>
    <w:basedOn w:val="Normal"/>
    <w:link w:val="CommentTextChar"/>
    <w:uiPriority w:val="99"/>
    <w:semiHidden/>
    <w:unhideWhenUsed/>
    <w:rsid w:val="00F24C02"/>
    <w:pPr>
      <w:spacing w:line="240" w:lineRule="auto"/>
    </w:pPr>
    <w:rPr>
      <w:sz w:val="20"/>
      <w:szCs w:val="20"/>
    </w:rPr>
  </w:style>
  <w:style w:type="character" w:customStyle="1" w:styleId="CommentTextChar">
    <w:name w:val="Comment Text Char"/>
    <w:basedOn w:val="DefaultParagraphFont"/>
    <w:link w:val="CommentText"/>
    <w:uiPriority w:val="99"/>
    <w:semiHidden/>
    <w:rsid w:val="00F24C02"/>
    <w:rPr>
      <w:sz w:val="20"/>
      <w:szCs w:val="20"/>
    </w:rPr>
  </w:style>
  <w:style w:type="paragraph" w:styleId="CommentSubject">
    <w:name w:val="annotation subject"/>
    <w:basedOn w:val="CommentText"/>
    <w:next w:val="CommentText"/>
    <w:link w:val="CommentSubjectChar"/>
    <w:uiPriority w:val="99"/>
    <w:semiHidden/>
    <w:unhideWhenUsed/>
    <w:rsid w:val="00F24C02"/>
    <w:rPr>
      <w:b/>
      <w:bCs/>
    </w:rPr>
  </w:style>
  <w:style w:type="character" w:customStyle="1" w:styleId="CommentSubjectChar">
    <w:name w:val="Comment Subject Char"/>
    <w:basedOn w:val="CommentTextChar"/>
    <w:link w:val="CommentSubject"/>
    <w:uiPriority w:val="99"/>
    <w:semiHidden/>
    <w:rsid w:val="00F24C02"/>
    <w:rPr>
      <w:b/>
      <w:bCs/>
      <w:sz w:val="20"/>
      <w:szCs w:val="20"/>
    </w:rPr>
  </w:style>
  <w:style w:type="paragraph" w:styleId="BalloonText">
    <w:name w:val="Balloon Text"/>
    <w:basedOn w:val="Normal"/>
    <w:link w:val="BalloonTextChar"/>
    <w:uiPriority w:val="99"/>
    <w:semiHidden/>
    <w:unhideWhenUsed/>
    <w:rsid w:val="00F24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C02"/>
    <w:rPr>
      <w:rFonts w:ascii="Segoe UI" w:hAnsi="Segoe UI" w:cs="Segoe UI"/>
      <w:sz w:val="18"/>
      <w:szCs w:val="18"/>
    </w:rPr>
  </w:style>
  <w:style w:type="paragraph" w:styleId="ListParagraph">
    <w:name w:val="List Paragraph"/>
    <w:basedOn w:val="Normal"/>
    <w:uiPriority w:val="34"/>
    <w:qFormat/>
    <w:rsid w:val="003A3AB9"/>
    <w:pPr>
      <w:ind w:left="720"/>
      <w:contextualSpacing/>
    </w:pPr>
  </w:style>
  <w:style w:type="paragraph" w:styleId="Header">
    <w:name w:val="header"/>
    <w:basedOn w:val="Normal"/>
    <w:link w:val="HeaderChar"/>
    <w:uiPriority w:val="99"/>
    <w:unhideWhenUsed/>
    <w:rsid w:val="001A35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57E"/>
  </w:style>
  <w:style w:type="paragraph" w:styleId="Footer">
    <w:name w:val="footer"/>
    <w:basedOn w:val="Normal"/>
    <w:link w:val="FooterChar"/>
    <w:uiPriority w:val="99"/>
    <w:unhideWhenUsed/>
    <w:rsid w:val="001A35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57E"/>
  </w:style>
  <w:style w:type="paragraph" w:customStyle="1" w:styleId="Default">
    <w:name w:val="Default"/>
    <w:rsid w:val="001135F4"/>
    <w:pPr>
      <w:autoSpaceDE w:val="0"/>
      <w:autoSpaceDN w:val="0"/>
      <w:adjustRightInd w:val="0"/>
      <w:spacing w:after="0" w:line="240" w:lineRule="auto"/>
    </w:pPr>
    <w:rPr>
      <w:rFonts w:ascii="Segoe UI" w:hAnsi="Segoe UI" w:cs="Segoe UI"/>
      <w:color w:val="000000"/>
      <w:sz w:val="24"/>
      <w:szCs w:val="24"/>
    </w:rPr>
  </w:style>
  <w:style w:type="character" w:customStyle="1" w:styleId="normaltextrun">
    <w:name w:val="normaltextrun"/>
    <w:basedOn w:val="DefaultParagraphFont"/>
    <w:rsid w:val="004A642D"/>
  </w:style>
  <w:style w:type="character" w:customStyle="1" w:styleId="eop">
    <w:name w:val="eop"/>
    <w:basedOn w:val="DefaultParagraphFont"/>
    <w:rsid w:val="00E9617E"/>
  </w:style>
  <w:style w:type="table" w:styleId="TableGrid">
    <w:name w:val="Table Grid"/>
    <w:basedOn w:val="TableNormal"/>
    <w:uiPriority w:val="39"/>
    <w:rsid w:val="00E93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A63B9"/>
    <w:pPr>
      <w:spacing w:after="0" w:line="240" w:lineRule="auto"/>
    </w:pPr>
    <w:rPr>
      <w:rFonts w:ascii="Calibri" w:hAnsi="Calibri" w:cs="Calibri"/>
      <w:lang w:eastAsia="en-GB"/>
    </w:rPr>
  </w:style>
  <w:style w:type="character" w:styleId="Hyperlink">
    <w:name w:val="Hyperlink"/>
    <w:basedOn w:val="DefaultParagraphFont"/>
    <w:uiPriority w:val="99"/>
    <w:unhideWhenUsed/>
    <w:rsid w:val="00CB6012"/>
    <w:rPr>
      <w:color w:val="0563C1" w:themeColor="hyperlink"/>
      <w:u w:val="single"/>
    </w:rPr>
  </w:style>
  <w:style w:type="character" w:styleId="UnresolvedMention">
    <w:name w:val="Unresolved Mention"/>
    <w:basedOn w:val="DefaultParagraphFont"/>
    <w:uiPriority w:val="99"/>
    <w:semiHidden/>
    <w:unhideWhenUsed/>
    <w:rsid w:val="00CB6012"/>
    <w:rPr>
      <w:color w:val="605E5C"/>
      <w:shd w:val="clear" w:color="auto" w:fill="E1DFDD"/>
    </w:rPr>
  </w:style>
  <w:style w:type="paragraph" w:styleId="NoSpacing">
    <w:name w:val="No Spacing"/>
    <w:uiPriority w:val="1"/>
    <w:qFormat/>
    <w:rsid w:val="00CB60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77788">
      <w:bodyDiv w:val="1"/>
      <w:marLeft w:val="0"/>
      <w:marRight w:val="0"/>
      <w:marTop w:val="0"/>
      <w:marBottom w:val="0"/>
      <w:divBdr>
        <w:top w:val="none" w:sz="0" w:space="0" w:color="auto"/>
        <w:left w:val="none" w:sz="0" w:space="0" w:color="auto"/>
        <w:bottom w:val="none" w:sz="0" w:space="0" w:color="auto"/>
        <w:right w:val="none" w:sz="0" w:space="0" w:color="auto"/>
      </w:divBdr>
    </w:div>
    <w:div w:id="347370069">
      <w:bodyDiv w:val="1"/>
      <w:marLeft w:val="0"/>
      <w:marRight w:val="0"/>
      <w:marTop w:val="0"/>
      <w:marBottom w:val="0"/>
      <w:divBdr>
        <w:top w:val="none" w:sz="0" w:space="0" w:color="auto"/>
        <w:left w:val="none" w:sz="0" w:space="0" w:color="auto"/>
        <w:bottom w:val="none" w:sz="0" w:space="0" w:color="auto"/>
        <w:right w:val="none" w:sz="0" w:space="0" w:color="auto"/>
      </w:divBdr>
    </w:div>
    <w:div w:id="663627783">
      <w:bodyDiv w:val="1"/>
      <w:marLeft w:val="0"/>
      <w:marRight w:val="0"/>
      <w:marTop w:val="0"/>
      <w:marBottom w:val="0"/>
      <w:divBdr>
        <w:top w:val="none" w:sz="0" w:space="0" w:color="auto"/>
        <w:left w:val="none" w:sz="0" w:space="0" w:color="auto"/>
        <w:bottom w:val="none" w:sz="0" w:space="0" w:color="auto"/>
        <w:right w:val="none" w:sz="0" w:space="0" w:color="auto"/>
      </w:divBdr>
    </w:div>
    <w:div w:id="686713791">
      <w:bodyDiv w:val="1"/>
      <w:marLeft w:val="0"/>
      <w:marRight w:val="0"/>
      <w:marTop w:val="0"/>
      <w:marBottom w:val="0"/>
      <w:divBdr>
        <w:top w:val="none" w:sz="0" w:space="0" w:color="auto"/>
        <w:left w:val="none" w:sz="0" w:space="0" w:color="auto"/>
        <w:bottom w:val="none" w:sz="0" w:space="0" w:color="auto"/>
        <w:right w:val="none" w:sz="0" w:space="0" w:color="auto"/>
      </w:divBdr>
    </w:div>
    <w:div w:id="912357012">
      <w:bodyDiv w:val="1"/>
      <w:marLeft w:val="0"/>
      <w:marRight w:val="0"/>
      <w:marTop w:val="0"/>
      <w:marBottom w:val="0"/>
      <w:divBdr>
        <w:top w:val="none" w:sz="0" w:space="0" w:color="auto"/>
        <w:left w:val="none" w:sz="0" w:space="0" w:color="auto"/>
        <w:bottom w:val="none" w:sz="0" w:space="0" w:color="auto"/>
        <w:right w:val="none" w:sz="0" w:space="0" w:color="auto"/>
      </w:divBdr>
    </w:div>
    <w:div w:id="957881453">
      <w:bodyDiv w:val="1"/>
      <w:marLeft w:val="0"/>
      <w:marRight w:val="0"/>
      <w:marTop w:val="0"/>
      <w:marBottom w:val="0"/>
      <w:divBdr>
        <w:top w:val="none" w:sz="0" w:space="0" w:color="auto"/>
        <w:left w:val="none" w:sz="0" w:space="0" w:color="auto"/>
        <w:bottom w:val="none" w:sz="0" w:space="0" w:color="auto"/>
        <w:right w:val="none" w:sz="0" w:space="0" w:color="auto"/>
      </w:divBdr>
    </w:div>
    <w:div w:id="1130391911">
      <w:bodyDiv w:val="1"/>
      <w:marLeft w:val="0"/>
      <w:marRight w:val="0"/>
      <w:marTop w:val="0"/>
      <w:marBottom w:val="0"/>
      <w:divBdr>
        <w:top w:val="none" w:sz="0" w:space="0" w:color="auto"/>
        <w:left w:val="none" w:sz="0" w:space="0" w:color="auto"/>
        <w:bottom w:val="none" w:sz="0" w:space="0" w:color="auto"/>
        <w:right w:val="none" w:sz="0" w:space="0" w:color="auto"/>
      </w:divBdr>
      <w:divsChild>
        <w:div w:id="1663384888">
          <w:marLeft w:val="432"/>
          <w:marRight w:val="0"/>
          <w:marTop w:val="441"/>
          <w:marBottom w:val="0"/>
          <w:divBdr>
            <w:top w:val="none" w:sz="0" w:space="0" w:color="auto"/>
            <w:left w:val="none" w:sz="0" w:space="0" w:color="auto"/>
            <w:bottom w:val="none" w:sz="0" w:space="0" w:color="auto"/>
            <w:right w:val="none" w:sz="0" w:space="0" w:color="auto"/>
          </w:divBdr>
        </w:div>
        <w:div w:id="700860700">
          <w:marLeft w:val="432"/>
          <w:marRight w:val="0"/>
          <w:marTop w:val="441"/>
          <w:marBottom w:val="0"/>
          <w:divBdr>
            <w:top w:val="none" w:sz="0" w:space="0" w:color="auto"/>
            <w:left w:val="none" w:sz="0" w:space="0" w:color="auto"/>
            <w:bottom w:val="none" w:sz="0" w:space="0" w:color="auto"/>
            <w:right w:val="none" w:sz="0" w:space="0" w:color="auto"/>
          </w:divBdr>
        </w:div>
      </w:divsChild>
    </w:div>
    <w:div w:id="1788037853">
      <w:bodyDiv w:val="1"/>
      <w:marLeft w:val="0"/>
      <w:marRight w:val="0"/>
      <w:marTop w:val="0"/>
      <w:marBottom w:val="0"/>
      <w:divBdr>
        <w:top w:val="none" w:sz="0" w:space="0" w:color="auto"/>
        <w:left w:val="none" w:sz="0" w:space="0" w:color="auto"/>
        <w:bottom w:val="none" w:sz="0" w:space="0" w:color="auto"/>
        <w:right w:val="none" w:sz="0" w:space="0" w:color="auto"/>
      </w:divBdr>
    </w:div>
    <w:div w:id="192448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haritytaxgroup.org.uk/wp-content/uploads/Charity-Tax-Group-MTD-1.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uk/government/publications/vat-notice-70022-making-tax-digital-for-vat/vat-notice-70022-making-tax-digital-for-va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zoom.us/rec/play/mm1Q1Ca_R63kBvCXMB_L2KEzMGsF13k_9Z0OauH59gm81i_CH390Zd_hTypUzBV47v-CSrb7WpBBZMug.qVmCj6rGkLn-AUZp?startTime=161064000700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charitytaxgroup.org.uk/wp-content/uploads/Charity-Tax-Group-MTD-session-14-January-2021.pdf"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zoom.us/rec/play/c-FAo55Bv1dyFX79-MKoV_HKXSbI_RaASBn8n-jMSFHyaoJ49SiM3EsTzoG43uCzBgide38EKGNpcd0i.aTU7Ps6XzrpMbIZ0?startTime=161426896700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13880A6E175343846B76AA9BBB0454" ma:contentTypeVersion="11" ma:contentTypeDescription="Create a new document." ma:contentTypeScope="" ma:versionID="a40a83a5bd2b6cdc60e86ce7e7a2b3e8">
  <xsd:schema xmlns:xsd="http://www.w3.org/2001/XMLSchema" xmlns:xs="http://www.w3.org/2001/XMLSchema" xmlns:p="http://schemas.microsoft.com/office/2006/metadata/properties" xmlns:ns3="7f01384c-8036-4fc9-b961-920c49f8cc19" xmlns:ns4="62d50b96-9e09-4592-85bf-5a395e1298ba" targetNamespace="http://schemas.microsoft.com/office/2006/metadata/properties" ma:root="true" ma:fieldsID="43a8f7603bced211f3c799c20c6f46b1" ns3:_="" ns4:_="">
    <xsd:import namespace="7f01384c-8036-4fc9-b961-920c49f8cc19"/>
    <xsd:import namespace="62d50b96-9e09-4592-85bf-5a395e1298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1384c-8036-4fc9-b961-920c49f8c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d50b96-9e09-4592-85bf-5a395e129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51265E-4723-47B7-888B-13B820E826CB}">
  <ds:schemaRefs>
    <ds:schemaRef ds:uri="http://schemas.microsoft.com/sharepoint/v3/contenttype/forms"/>
  </ds:schemaRefs>
</ds:datastoreItem>
</file>

<file path=customXml/itemProps2.xml><?xml version="1.0" encoding="utf-8"?>
<ds:datastoreItem xmlns:ds="http://schemas.openxmlformats.org/officeDocument/2006/customXml" ds:itemID="{F5F32CB9-D2B9-4746-91F9-BA889F4E0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01384c-8036-4fc9-b961-920c49f8cc19"/>
    <ds:schemaRef ds:uri="62d50b96-9e09-4592-85bf-5a395e129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07A87A-8725-40E2-A1AB-E0F161AAA4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3302</Words>
  <Characters>18822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Quadri, Kamran (HMRC Transformation)</dc:creator>
  <cp:keywords/>
  <dc:description/>
  <cp:lastModifiedBy>Chris Lane</cp:lastModifiedBy>
  <cp:revision>2</cp:revision>
  <cp:lastPrinted>2021-04-26T08:38:00Z</cp:lastPrinted>
  <dcterms:created xsi:type="dcterms:W3CDTF">2021-05-04T14:17:00Z</dcterms:created>
  <dcterms:modified xsi:type="dcterms:W3CDTF">2021-05-04T14:17:00Z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2021-04-01T15:27:56Z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69312e7d-934c-46a7-b537-e1d48b36d94e</vt:lpwstr>
  </property>
  <property fmtid="{D5CDD505-2E9C-101B-9397-08002B2CF9AE}" pid="8" name="MSIP_Label_f9af038e-07b4-4369-a678-c835687cb272_ContentBits">
    <vt:lpwstr>2</vt:lpwstr>
  </property>
  <property fmtid="{D5CDD505-2E9C-101B-9397-08002B2CF9AE}" pid="9" name="ContentTypeId">
    <vt:lpwstr>0x010100A513880A6E175343846B76AA9BBB0454</vt:lpwstr>
  </property>
</Properties>
</file>