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C0405F" w:rsidTr="004F302F">
        <w:tc>
          <w:tcPr>
            <w:tcW w:w="90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5F" w:rsidRDefault="00C0405F" w:rsidP="004F302F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58496FFC" wp14:editId="1459E8F9">
                  <wp:extent cx="1912620" cy="839470"/>
                  <wp:effectExtent l="0" t="0" r="0" b="0"/>
                  <wp:docPr id="1" name="Picture 1" descr="cid:image002.jpg@01D472B2.51EBCC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2.jpg@01D472B2.51EBCC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05F" w:rsidTr="004F302F">
        <w:tc>
          <w:tcPr>
            <w:tcW w:w="9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5F" w:rsidRDefault="00C0405F" w:rsidP="004F302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C0405F" w:rsidRDefault="00B552B2" w:rsidP="00880ECA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MTD Update for Agents #</w:t>
            </w:r>
            <w:r w:rsidR="00CE0AF0">
              <w:rPr>
                <w:rFonts w:ascii="Calibri" w:hAnsi="Calibri" w:cs="Calibri"/>
                <w:b/>
                <w:bCs/>
                <w:sz w:val="28"/>
                <w:szCs w:val="28"/>
              </w:rPr>
              <w:t>6:  30</w:t>
            </w:r>
            <w:r w:rsidR="00381CF1" w:rsidRPr="00381CF1">
              <w:rPr>
                <w:rFonts w:ascii="Calibri" w:hAnsi="Calibri" w:cs="Calibri"/>
                <w:b/>
                <w:bCs/>
                <w:sz w:val="28"/>
                <w:szCs w:val="28"/>
                <w:vertAlign w:val="superscript"/>
              </w:rPr>
              <w:t>th</w:t>
            </w:r>
            <w:r w:rsidR="00381CF1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April</w:t>
            </w:r>
            <w:r w:rsidR="00C0405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2019</w:t>
            </w:r>
          </w:p>
        </w:tc>
      </w:tr>
      <w:tr w:rsidR="00C0405F" w:rsidTr="004F302F">
        <w:tc>
          <w:tcPr>
            <w:tcW w:w="9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5F" w:rsidRDefault="00C0405F" w:rsidP="004F302F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:rsidR="00C0405F" w:rsidRPr="00352EA7" w:rsidRDefault="00C0405F" w:rsidP="004F302F">
            <w:pPr>
              <w:spacing w:after="120"/>
              <w:rPr>
                <w:rFonts w:ascii="Calibri" w:hAnsi="Calibri" w:cs="Calibri"/>
                <w:szCs w:val="22"/>
              </w:rPr>
            </w:pPr>
            <w:r w:rsidRPr="00352EA7">
              <w:rPr>
                <w:rFonts w:ascii="Calibri" w:hAnsi="Calibri" w:cs="Calibri"/>
                <w:szCs w:val="22"/>
              </w:rPr>
              <w:t>Dear Agent</w:t>
            </w:r>
            <w:r w:rsidR="00D7502E">
              <w:rPr>
                <w:rFonts w:ascii="Calibri" w:hAnsi="Calibri" w:cs="Calibri"/>
                <w:szCs w:val="22"/>
              </w:rPr>
              <w:t>,</w:t>
            </w:r>
          </w:p>
          <w:p w:rsidR="00B27289" w:rsidRDefault="00381CF1" w:rsidP="004F302F">
            <w:pPr>
              <w:spacing w:after="12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Welcome to the 6</w:t>
            </w:r>
            <w:r w:rsidR="00C0405F" w:rsidRPr="00352EA7">
              <w:rPr>
                <w:rFonts w:ascii="Calibri" w:hAnsi="Calibri" w:cs="Calibri"/>
                <w:szCs w:val="22"/>
                <w:vertAlign w:val="superscript"/>
              </w:rPr>
              <w:t>th</w:t>
            </w:r>
            <w:r w:rsidR="00C0405F" w:rsidRPr="00352EA7">
              <w:rPr>
                <w:rFonts w:ascii="Calibri" w:hAnsi="Calibri" w:cs="Calibri"/>
                <w:szCs w:val="22"/>
              </w:rPr>
              <w:t xml:space="preserve"> edition of our Makin</w:t>
            </w:r>
            <w:r>
              <w:rPr>
                <w:rFonts w:ascii="Calibri" w:hAnsi="Calibri" w:cs="Calibri"/>
                <w:szCs w:val="22"/>
              </w:rPr>
              <w:t>g Tax Digital Update for Agents.</w:t>
            </w:r>
          </w:p>
          <w:p w:rsidR="00C0405F" w:rsidRPr="00352EA7" w:rsidRDefault="00C0405F" w:rsidP="004F302F">
            <w:pPr>
              <w:spacing w:after="120"/>
              <w:rPr>
                <w:rFonts w:ascii="Calibri" w:hAnsi="Calibri" w:cs="Calibri"/>
                <w:szCs w:val="22"/>
              </w:rPr>
            </w:pPr>
            <w:r w:rsidRPr="00352EA7">
              <w:rPr>
                <w:rFonts w:ascii="Calibri" w:hAnsi="Calibri" w:cs="Calibri"/>
                <w:szCs w:val="22"/>
              </w:rPr>
              <w:t>If there’s any subject you’d like us to cover in future updates please let us know via the MTD mailbox:</w:t>
            </w:r>
          </w:p>
          <w:p w:rsidR="000F7183" w:rsidRDefault="00A21CD0" w:rsidP="00230C98">
            <w:pPr>
              <w:spacing w:after="120"/>
              <w:rPr>
                <w:rStyle w:val="Hyperlink"/>
                <w:rFonts w:ascii="Calibri" w:hAnsi="Calibri" w:cs="Calibri"/>
                <w:b/>
                <w:bCs/>
                <w:color w:val="auto"/>
                <w:szCs w:val="22"/>
              </w:rPr>
            </w:pPr>
            <w:hyperlink r:id="rId8" w:history="1">
              <w:r w:rsidR="004F302F" w:rsidRPr="00230C98">
                <w:rPr>
                  <w:rStyle w:val="Hyperlink"/>
                  <w:rFonts w:ascii="Calibri" w:hAnsi="Calibri" w:cs="Calibri"/>
                  <w:b/>
                  <w:bCs/>
                  <w:color w:val="auto"/>
                  <w:szCs w:val="22"/>
                </w:rPr>
                <w:t>makingtaxdigital.mailbox@hmrc.gov.uk</w:t>
              </w:r>
            </w:hyperlink>
          </w:p>
          <w:p w:rsidR="00230C98" w:rsidRPr="00D85D54" w:rsidRDefault="00D85D54" w:rsidP="00230C98">
            <w:pPr>
              <w:spacing w:after="120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85D54">
              <w:rPr>
                <w:rFonts w:asciiTheme="minorHAnsi" w:hAnsiTheme="minorHAnsi" w:cstheme="minorHAnsi"/>
                <w:bCs/>
                <w:color w:val="000000" w:themeColor="text1"/>
              </w:rPr>
              <w:t>In this edition:</w:t>
            </w:r>
          </w:p>
          <w:p w:rsidR="00D85D54" w:rsidRPr="00D85D54" w:rsidRDefault="00A21CD0" w:rsidP="00D85D54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hyperlink w:anchor="Updates" w:history="1">
              <w:r w:rsidR="00D85D54" w:rsidRPr="00D85D54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Key updates</w:t>
              </w:r>
            </w:hyperlink>
          </w:p>
          <w:p w:rsidR="00D85D54" w:rsidRPr="00D85D54" w:rsidRDefault="00A21CD0" w:rsidP="00D85D54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hyperlink w:anchor="Reminders" w:history="1">
              <w:r w:rsidR="00D85D54" w:rsidRPr="00D85D54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Key reminders</w:t>
              </w:r>
            </w:hyperlink>
          </w:p>
          <w:p w:rsidR="00D85D54" w:rsidRPr="00D85D54" w:rsidRDefault="00A21CD0" w:rsidP="00D85D54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hyperlink w:anchor="Spotlight" w:history="1">
              <w:r w:rsidR="00D85D54" w:rsidRPr="00D85D54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Spotlight on….Agents</w:t>
              </w:r>
            </w:hyperlink>
          </w:p>
          <w:p w:rsidR="00D85D54" w:rsidRPr="00D85D54" w:rsidRDefault="00A21CD0" w:rsidP="00D85D54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hyperlink w:anchor="Coming" w:history="1">
              <w:r w:rsidR="00D85D54" w:rsidRPr="00D85D54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Coming soon</w:t>
              </w:r>
            </w:hyperlink>
          </w:p>
          <w:p w:rsidR="00D85D54" w:rsidRPr="00D85D54" w:rsidRDefault="00A21CD0" w:rsidP="00D85D54">
            <w:pPr>
              <w:pStyle w:val="ListParagraph"/>
              <w:numPr>
                <w:ilvl w:val="0"/>
                <w:numId w:val="15"/>
              </w:numPr>
              <w:spacing w:after="120"/>
              <w:rPr>
                <w:rFonts w:asciiTheme="minorHAnsi" w:hAnsiTheme="minorHAnsi" w:cstheme="minorHAnsi"/>
                <w:bCs/>
                <w:color w:val="000000" w:themeColor="text1"/>
                <w:sz w:val="24"/>
                <w:szCs w:val="24"/>
              </w:rPr>
            </w:pPr>
            <w:hyperlink w:anchor="Useful" w:history="1">
              <w:r w:rsidR="00D85D54" w:rsidRPr="00D85D54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</w:rPr>
                <w:t>Useful links</w:t>
              </w:r>
            </w:hyperlink>
          </w:p>
          <w:p w:rsidR="00D85D54" w:rsidRPr="00230C98" w:rsidRDefault="00D85D54" w:rsidP="00230C98">
            <w:pPr>
              <w:spacing w:after="120"/>
              <w:rPr>
                <w:rFonts w:asciiTheme="minorHAnsi" w:hAnsiTheme="minorHAnsi" w:cstheme="minorHAnsi"/>
                <w:b/>
                <w:bCs/>
                <w:color w:val="0563C1"/>
                <w:szCs w:val="22"/>
              </w:rPr>
            </w:pPr>
          </w:p>
        </w:tc>
      </w:tr>
      <w:tr w:rsidR="00C0405F" w:rsidTr="004F302F">
        <w:tc>
          <w:tcPr>
            <w:tcW w:w="9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5F" w:rsidRDefault="00C0405F" w:rsidP="004F302F">
            <w:pPr>
              <w:rPr>
                <w:rFonts w:ascii="Calibri" w:hAnsi="Calibri" w:cs="Calibri"/>
                <w:b/>
                <w:bCs/>
                <w:color w:val="000000"/>
              </w:rPr>
            </w:pPr>
            <w:bookmarkStart w:id="1" w:name="Updates"/>
            <w:bookmarkStart w:id="2" w:name="Key"/>
            <w:r w:rsidRPr="00BE0BE7">
              <w:rPr>
                <w:rFonts w:ascii="Calibri" w:hAnsi="Calibri" w:cs="Calibri"/>
                <w:b/>
                <w:bCs/>
                <w:color w:val="000000"/>
                <w:sz w:val="28"/>
              </w:rPr>
              <w:t>Key Updates</w:t>
            </w:r>
            <w:bookmarkEnd w:id="1"/>
          </w:p>
        </w:tc>
      </w:tr>
      <w:bookmarkEnd w:id="2"/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405F" w:rsidTr="00CE2BD1">
        <w:tc>
          <w:tcPr>
            <w:tcW w:w="9016" w:type="dxa"/>
          </w:tcPr>
          <w:p w:rsidR="00666183" w:rsidRDefault="00666183" w:rsidP="00666183">
            <w:pPr>
              <w:pStyle w:val="ListParagraph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:rsidR="00D05A4F" w:rsidRDefault="00843011" w:rsidP="002761F5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Signing up monthly filers</w:t>
            </w:r>
          </w:p>
          <w:p w:rsidR="00BB32CA" w:rsidRPr="002761F5" w:rsidRDefault="00BB32CA" w:rsidP="00BB32C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D05A4F" w:rsidRDefault="00772B0F" w:rsidP="002761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Unless they are deferred b</w:t>
            </w:r>
            <w:r w:rsidR="002761F5">
              <w:rPr>
                <w:rFonts w:asciiTheme="minorHAnsi" w:hAnsiTheme="minorHAnsi" w:cstheme="minorHAnsi"/>
              </w:rPr>
              <w:t>us</w:t>
            </w:r>
            <w:r w:rsidR="00D7502E">
              <w:rPr>
                <w:rFonts w:asciiTheme="minorHAnsi" w:hAnsiTheme="minorHAnsi" w:cstheme="minorHAnsi"/>
              </w:rPr>
              <w:t>inesses</w:t>
            </w:r>
            <w:r w:rsidR="002761F5">
              <w:rPr>
                <w:rFonts w:asciiTheme="minorHAnsi" w:hAnsiTheme="minorHAnsi" w:cstheme="minorHAnsi"/>
              </w:rPr>
              <w:t xml:space="preserve"> with a taxable turnover above £85,000</w:t>
            </w:r>
            <w:r w:rsidR="00D7502E">
              <w:rPr>
                <w:rFonts w:asciiTheme="minorHAnsi" w:hAnsiTheme="minorHAnsi" w:cstheme="minorHAnsi"/>
              </w:rPr>
              <w:t xml:space="preserve"> that file their VAT returns monthly </w:t>
            </w:r>
            <w:r w:rsidR="00174DAA">
              <w:rPr>
                <w:rFonts w:asciiTheme="minorHAnsi" w:hAnsiTheme="minorHAnsi" w:cstheme="minorHAnsi"/>
              </w:rPr>
              <w:t>need</w:t>
            </w:r>
            <w:r w:rsidR="002761F5">
              <w:rPr>
                <w:rFonts w:asciiTheme="minorHAnsi" w:hAnsiTheme="minorHAnsi" w:cstheme="minorHAnsi"/>
              </w:rPr>
              <w:t xml:space="preserve"> to follow</w:t>
            </w:r>
            <w:r w:rsidR="00D7502E">
              <w:rPr>
                <w:rFonts w:asciiTheme="minorHAnsi" w:hAnsiTheme="minorHAnsi" w:cstheme="minorHAnsi"/>
              </w:rPr>
              <w:t xml:space="preserve"> the</w:t>
            </w:r>
            <w:r w:rsidR="002761F5">
              <w:rPr>
                <w:rFonts w:asciiTheme="minorHAnsi" w:hAnsiTheme="minorHAnsi" w:cstheme="minorHAnsi"/>
              </w:rPr>
              <w:t xml:space="preserve"> M</w:t>
            </w:r>
            <w:r w:rsidR="00D7502E">
              <w:rPr>
                <w:rFonts w:asciiTheme="minorHAnsi" w:hAnsiTheme="minorHAnsi" w:cstheme="minorHAnsi"/>
              </w:rPr>
              <w:t xml:space="preserve">aking </w:t>
            </w:r>
            <w:r w:rsidR="002761F5">
              <w:rPr>
                <w:rFonts w:asciiTheme="minorHAnsi" w:hAnsiTheme="minorHAnsi" w:cstheme="minorHAnsi"/>
              </w:rPr>
              <w:t>T</w:t>
            </w:r>
            <w:r w:rsidR="00D7502E">
              <w:rPr>
                <w:rFonts w:asciiTheme="minorHAnsi" w:hAnsiTheme="minorHAnsi" w:cstheme="minorHAnsi"/>
              </w:rPr>
              <w:t xml:space="preserve">ax </w:t>
            </w:r>
            <w:r w:rsidR="002761F5">
              <w:rPr>
                <w:rFonts w:asciiTheme="minorHAnsi" w:hAnsiTheme="minorHAnsi" w:cstheme="minorHAnsi"/>
              </w:rPr>
              <w:t>D</w:t>
            </w:r>
            <w:r w:rsidR="00D7502E">
              <w:rPr>
                <w:rFonts w:asciiTheme="minorHAnsi" w:hAnsiTheme="minorHAnsi" w:cstheme="minorHAnsi"/>
              </w:rPr>
              <w:t>igital</w:t>
            </w:r>
            <w:r w:rsidR="002761F5">
              <w:rPr>
                <w:rFonts w:asciiTheme="minorHAnsi" w:hAnsiTheme="minorHAnsi" w:cstheme="minorHAnsi"/>
              </w:rPr>
              <w:t xml:space="preserve"> rules from 1 April 2019.</w:t>
            </w:r>
            <w:r w:rsidR="00843011">
              <w:rPr>
                <w:rFonts w:asciiTheme="minorHAnsi" w:hAnsiTheme="minorHAnsi" w:cstheme="minorHAnsi"/>
              </w:rPr>
              <w:t xml:space="preserve"> They will be the first customers that have to file using MTD compatible software so as agents these will be the first customers that you want to sign up.</w:t>
            </w:r>
          </w:p>
          <w:p w:rsidR="002761F5" w:rsidRDefault="002761F5" w:rsidP="002761F5">
            <w:pPr>
              <w:rPr>
                <w:rFonts w:asciiTheme="minorHAnsi" w:hAnsiTheme="minorHAnsi" w:cstheme="minorHAnsi"/>
              </w:rPr>
            </w:pPr>
          </w:p>
          <w:p w:rsidR="002761F5" w:rsidRDefault="00D7502E" w:rsidP="002761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</w:t>
            </w:r>
            <w:r w:rsidR="002761F5">
              <w:rPr>
                <w:rFonts w:asciiTheme="minorHAnsi" w:hAnsiTheme="minorHAnsi" w:cstheme="minorHAnsi"/>
              </w:rPr>
              <w:t xml:space="preserve"> return for period ending 31 March is </w:t>
            </w:r>
            <w:r>
              <w:rPr>
                <w:rFonts w:asciiTheme="minorHAnsi" w:hAnsiTheme="minorHAnsi" w:cstheme="minorHAnsi"/>
              </w:rPr>
              <w:t>due to be filed by 7 May 2019. For those that haven’t yet signed this will be</w:t>
            </w:r>
            <w:r w:rsidR="002761F5">
              <w:rPr>
                <w:rFonts w:asciiTheme="minorHAnsi" w:hAnsiTheme="minorHAnsi" w:cstheme="minorHAnsi"/>
              </w:rPr>
              <w:t xml:space="preserve"> their </w:t>
            </w:r>
            <w:r w:rsidR="002761F5" w:rsidRPr="00880ECA">
              <w:rPr>
                <w:rFonts w:asciiTheme="minorHAnsi" w:hAnsiTheme="minorHAnsi" w:cstheme="minorHAnsi"/>
                <w:i/>
              </w:rPr>
              <w:t>last</w:t>
            </w:r>
            <w:r w:rsidR="002761F5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non-MTD return and should be submitted using the old service. After the filing deadline for this final return has passed and payment has been collected the </w:t>
            </w:r>
            <w:r w:rsidR="002761F5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usiness (or an agent on their behalf) should sign up for MTD. This will</w:t>
            </w:r>
            <w:r w:rsidR="002761F5">
              <w:rPr>
                <w:rFonts w:asciiTheme="minorHAnsi" w:hAnsiTheme="minorHAnsi" w:cstheme="minorHAnsi"/>
              </w:rPr>
              <w:t xml:space="preserve"> ensure </w:t>
            </w:r>
            <w:r>
              <w:rPr>
                <w:rFonts w:asciiTheme="minorHAnsi" w:hAnsiTheme="minorHAnsi" w:cstheme="minorHAnsi"/>
              </w:rPr>
              <w:t xml:space="preserve">that </w:t>
            </w:r>
            <w:r w:rsidR="002761F5">
              <w:rPr>
                <w:rFonts w:asciiTheme="minorHAnsi" w:hAnsiTheme="minorHAnsi" w:cstheme="minorHAnsi"/>
              </w:rPr>
              <w:t>they are ready for</w:t>
            </w:r>
            <w:r>
              <w:rPr>
                <w:rFonts w:asciiTheme="minorHAnsi" w:hAnsiTheme="minorHAnsi" w:cstheme="minorHAnsi"/>
              </w:rPr>
              <w:t xml:space="preserve"> April return</w:t>
            </w:r>
            <w:r w:rsidR="002761F5">
              <w:rPr>
                <w:rFonts w:asciiTheme="minorHAnsi" w:hAnsiTheme="minorHAnsi" w:cstheme="minorHAnsi"/>
              </w:rPr>
              <w:t xml:space="preserve"> to be</w:t>
            </w:r>
            <w:r w:rsidR="0051052E">
              <w:rPr>
                <w:rFonts w:asciiTheme="minorHAnsi" w:hAnsiTheme="minorHAnsi" w:cstheme="minorHAnsi"/>
              </w:rPr>
              <w:t xml:space="preserve"> submitted using MTD compatible software</w:t>
            </w:r>
            <w:r w:rsidR="002761F5">
              <w:rPr>
                <w:rFonts w:asciiTheme="minorHAnsi" w:hAnsiTheme="minorHAnsi" w:cstheme="minorHAnsi"/>
              </w:rPr>
              <w:t xml:space="preserve"> by</w:t>
            </w:r>
            <w:r w:rsidR="00230C98">
              <w:rPr>
                <w:rFonts w:asciiTheme="minorHAnsi" w:hAnsiTheme="minorHAnsi" w:cstheme="minorHAnsi"/>
              </w:rPr>
              <w:t xml:space="preserve"> the deadline of</w:t>
            </w:r>
            <w:r w:rsidR="002761F5">
              <w:rPr>
                <w:rFonts w:asciiTheme="minorHAnsi" w:hAnsiTheme="minorHAnsi" w:cstheme="minorHAnsi"/>
              </w:rPr>
              <w:t xml:space="preserve"> 7 June 2019.</w:t>
            </w:r>
          </w:p>
          <w:p w:rsidR="00DA159B" w:rsidRDefault="00DA159B" w:rsidP="00DA159B">
            <w:pPr>
              <w:rPr>
                <w:rFonts w:asciiTheme="minorHAnsi" w:hAnsiTheme="minorHAnsi" w:cstheme="minorHAnsi"/>
              </w:rPr>
            </w:pPr>
          </w:p>
          <w:p w:rsidR="00D85D54" w:rsidRDefault="00D85D54" w:rsidP="00DA159B">
            <w:pPr>
              <w:rPr>
                <w:rFonts w:asciiTheme="minorHAnsi" w:hAnsiTheme="minorHAnsi" w:cstheme="minorHAnsi"/>
              </w:rPr>
            </w:pPr>
          </w:p>
          <w:p w:rsidR="00D85D54" w:rsidRDefault="00D85D54" w:rsidP="00DA159B">
            <w:pPr>
              <w:rPr>
                <w:rFonts w:asciiTheme="minorHAnsi" w:hAnsiTheme="minorHAnsi" w:cstheme="minorHAnsi"/>
              </w:rPr>
            </w:pPr>
          </w:p>
          <w:p w:rsidR="00D85D54" w:rsidRDefault="00D85D54" w:rsidP="00DA159B">
            <w:pPr>
              <w:rPr>
                <w:rFonts w:asciiTheme="minorHAnsi" w:hAnsiTheme="minorHAnsi" w:cstheme="minorHAnsi"/>
              </w:rPr>
            </w:pPr>
          </w:p>
          <w:p w:rsidR="00D85D54" w:rsidRDefault="00D85D54" w:rsidP="00DA159B">
            <w:pPr>
              <w:rPr>
                <w:rFonts w:asciiTheme="minorHAnsi" w:hAnsiTheme="minorHAnsi" w:cstheme="minorHAnsi"/>
              </w:rPr>
            </w:pPr>
          </w:p>
          <w:p w:rsidR="00D85D54" w:rsidRDefault="00D85D54" w:rsidP="00DA159B">
            <w:pPr>
              <w:rPr>
                <w:rFonts w:asciiTheme="minorHAnsi" w:hAnsiTheme="minorHAnsi" w:cstheme="minorHAnsi"/>
              </w:rPr>
            </w:pPr>
          </w:p>
          <w:p w:rsidR="00D85D54" w:rsidRDefault="00D85D54" w:rsidP="00DA159B">
            <w:pPr>
              <w:rPr>
                <w:rFonts w:asciiTheme="minorHAnsi" w:hAnsiTheme="minorHAnsi" w:cstheme="minorHAnsi"/>
              </w:rPr>
            </w:pPr>
          </w:p>
          <w:p w:rsidR="00DA159B" w:rsidRPr="00BB32CA" w:rsidRDefault="00DA159B" w:rsidP="00DA159B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lastRenderedPageBreak/>
              <w:t xml:space="preserve">Making Tax Digital at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Accountex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2019</w:t>
            </w:r>
          </w:p>
          <w:p w:rsidR="00BB32CA" w:rsidRPr="00BB32CA" w:rsidRDefault="00BB32CA" w:rsidP="00BB32CA">
            <w:pPr>
              <w:pStyle w:val="ListParagraph"/>
              <w:rPr>
                <w:rFonts w:asciiTheme="minorHAnsi" w:hAnsiTheme="minorHAnsi" w:cstheme="minorHAnsi"/>
              </w:rPr>
            </w:pPr>
          </w:p>
          <w:p w:rsidR="00DA159B" w:rsidRDefault="00DA159B" w:rsidP="00DA15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 will be attending </w:t>
            </w:r>
            <w:proofErr w:type="spellStart"/>
            <w:r>
              <w:rPr>
                <w:rFonts w:asciiTheme="minorHAnsi" w:hAnsiTheme="minorHAnsi" w:cstheme="minorHAnsi"/>
              </w:rPr>
              <w:t>Accountex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="000D09A4">
              <w:rPr>
                <w:rFonts w:asciiTheme="minorHAnsi" w:hAnsiTheme="minorHAnsi" w:cstheme="minorHAnsi"/>
              </w:rPr>
              <w:t xml:space="preserve">London </w:t>
            </w:r>
            <w:r>
              <w:rPr>
                <w:rFonts w:asciiTheme="minorHAnsi" w:hAnsiTheme="minorHAnsi" w:cstheme="minorHAnsi"/>
              </w:rPr>
              <w:t xml:space="preserve">2019 at </w:t>
            </w:r>
            <w:r w:rsidR="000D09A4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Excel on 1 and 2 May. There will be a number of HMRC led Making Tax Digital presentations over the 2 days</w:t>
            </w:r>
            <w:r w:rsidR="000D09A4">
              <w:rPr>
                <w:rFonts w:asciiTheme="minorHAnsi" w:hAnsiTheme="minorHAnsi" w:cstheme="minorHAnsi"/>
              </w:rPr>
              <w:t>:</w:t>
            </w:r>
          </w:p>
          <w:p w:rsidR="00DA159B" w:rsidRDefault="00DA159B" w:rsidP="00DA159B">
            <w:pPr>
              <w:rPr>
                <w:rFonts w:asciiTheme="minorHAnsi" w:hAnsiTheme="minorHAnsi" w:cstheme="minorHAnsi"/>
              </w:rPr>
            </w:pPr>
          </w:p>
          <w:p w:rsidR="00DA159B" w:rsidRDefault="00DA159B" w:rsidP="00DA15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May 11:00</w:t>
            </w:r>
            <w:r w:rsidR="000D09A4">
              <w:rPr>
                <w:rFonts w:asciiTheme="minorHAnsi" w:hAnsiTheme="minorHAnsi" w:cstheme="minorHAnsi"/>
              </w:rPr>
              <w:t xml:space="preserve"> – 11:45, Theresa Middleton at </w:t>
            </w:r>
            <w:r>
              <w:rPr>
                <w:rFonts w:asciiTheme="minorHAnsi" w:hAnsiTheme="minorHAnsi" w:cstheme="minorHAnsi"/>
              </w:rPr>
              <w:t>Keynote A</w:t>
            </w:r>
            <w:r w:rsidR="000D09A4">
              <w:rPr>
                <w:rFonts w:asciiTheme="minorHAnsi" w:hAnsiTheme="minorHAnsi" w:cstheme="minorHAnsi"/>
              </w:rPr>
              <w:t>, Making Tax Digital</w:t>
            </w:r>
          </w:p>
          <w:p w:rsidR="000D09A4" w:rsidRDefault="000D09A4" w:rsidP="00DA159B">
            <w:pPr>
              <w:rPr>
                <w:rFonts w:asciiTheme="minorHAnsi" w:hAnsiTheme="minorHAnsi" w:cstheme="minorHAnsi"/>
              </w:rPr>
            </w:pPr>
          </w:p>
          <w:p w:rsidR="00DA159B" w:rsidRDefault="00DA159B" w:rsidP="00DA15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May 13</w:t>
            </w:r>
            <w:r w:rsidR="000D09A4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00</w:t>
            </w:r>
            <w:r w:rsidR="000D09A4">
              <w:rPr>
                <w:rFonts w:asciiTheme="minorHAnsi" w:hAnsiTheme="minorHAnsi" w:cstheme="minorHAnsi"/>
              </w:rPr>
              <w:t xml:space="preserve"> – 13:45, Rebecca Hutton at Keynote B, Making Tax Digital</w:t>
            </w:r>
          </w:p>
          <w:p w:rsidR="000D09A4" w:rsidRDefault="000D09A4" w:rsidP="00DA159B">
            <w:pPr>
              <w:rPr>
                <w:rFonts w:asciiTheme="minorHAnsi" w:hAnsiTheme="minorHAnsi" w:cstheme="minorHAnsi"/>
              </w:rPr>
            </w:pPr>
          </w:p>
          <w:p w:rsidR="00DA159B" w:rsidRDefault="000D09A4" w:rsidP="00DA15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 May 17:00 – 17:45, Verna Gellvear at Tax Theatre, Agent Services Account</w:t>
            </w:r>
          </w:p>
          <w:p w:rsidR="000D09A4" w:rsidRDefault="000D09A4" w:rsidP="00DA159B">
            <w:pPr>
              <w:rPr>
                <w:rFonts w:asciiTheme="minorHAnsi" w:hAnsiTheme="minorHAnsi" w:cstheme="minorHAnsi"/>
              </w:rPr>
            </w:pPr>
          </w:p>
          <w:p w:rsidR="00DA159B" w:rsidRDefault="00DA159B" w:rsidP="00DA159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 May</w:t>
            </w:r>
            <w:r w:rsidR="000D09A4">
              <w:rPr>
                <w:rFonts w:asciiTheme="minorHAnsi" w:hAnsiTheme="minorHAnsi" w:cstheme="minorHAnsi"/>
              </w:rPr>
              <w:t xml:space="preserve"> 11:00 – 11:45,</w:t>
            </w:r>
            <w:r>
              <w:rPr>
                <w:rFonts w:asciiTheme="minorHAnsi" w:hAnsiTheme="minorHAnsi" w:cstheme="minorHAnsi"/>
              </w:rPr>
              <w:t xml:space="preserve"> Claire W</w:t>
            </w:r>
            <w:r w:rsidR="000D09A4">
              <w:rPr>
                <w:rFonts w:asciiTheme="minorHAnsi" w:hAnsiTheme="minorHAnsi" w:cstheme="minorHAnsi"/>
              </w:rPr>
              <w:t>illiam at Future Theatre, Making Tax Digital</w:t>
            </w:r>
          </w:p>
          <w:p w:rsidR="00DA159B" w:rsidRDefault="00DA159B" w:rsidP="00DA159B">
            <w:pPr>
              <w:rPr>
                <w:rFonts w:asciiTheme="minorHAnsi" w:hAnsiTheme="minorHAnsi" w:cstheme="minorHAnsi"/>
              </w:rPr>
            </w:pPr>
          </w:p>
          <w:p w:rsidR="00DA159B" w:rsidRPr="002761F5" w:rsidRDefault="000D09A4" w:rsidP="002761F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 are attending</w:t>
            </w:r>
            <w:r w:rsidR="00DA159B">
              <w:rPr>
                <w:rFonts w:asciiTheme="minorHAnsi" w:hAnsiTheme="minorHAnsi" w:cstheme="minorHAnsi"/>
              </w:rPr>
              <w:t xml:space="preserve"> why not come and say hi</w:t>
            </w:r>
            <w:r>
              <w:rPr>
                <w:rFonts w:asciiTheme="minorHAnsi" w:hAnsiTheme="minorHAnsi" w:cstheme="minorHAnsi"/>
              </w:rPr>
              <w:t>,</w:t>
            </w:r>
            <w:r w:rsidR="00DA159B">
              <w:rPr>
                <w:rFonts w:asciiTheme="minorHAnsi" w:hAnsiTheme="minorHAnsi" w:cstheme="minorHAnsi"/>
              </w:rPr>
              <w:t xml:space="preserve"> or ask any questions that you may have. We are located at stand 1230.  </w:t>
            </w:r>
          </w:p>
          <w:p w:rsidR="002761F5" w:rsidRPr="002761F5" w:rsidRDefault="002761F5" w:rsidP="002761F5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D05A4F" w:rsidRDefault="00D05A4F" w:rsidP="002761F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2761F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Info</w:t>
            </w:r>
            <w:r w:rsidR="00880ECA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rmation</w:t>
            </w:r>
            <w:r w:rsidRPr="002761F5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 xml:space="preserve"> needed for agent led sign up</w:t>
            </w:r>
          </w:p>
          <w:p w:rsidR="00BB32CA" w:rsidRPr="002761F5" w:rsidRDefault="00BB32CA" w:rsidP="00BB32CA">
            <w:pPr>
              <w:pStyle w:val="ListParagraph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666183" w:rsidRDefault="00D7502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 response to </w:t>
            </w:r>
            <w:r w:rsidR="00772B0F">
              <w:rPr>
                <w:rFonts w:asciiTheme="minorHAnsi" w:hAnsiTheme="minorHAnsi" w:cstheme="minorHAnsi"/>
              </w:rPr>
              <w:t>feedback</w:t>
            </w:r>
            <w:r>
              <w:rPr>
                <w:rFonts w:asciiTheme="minorHAnsi" w:hAnsiTheme="minorHAnsi" w:cstheme="minorHAnsi"/>
              </w:rPr>
              <w:t xml:space="preserve"> we have produced a visual which shows</w:t>
            </w:r>
            <w:r w:rsidR="0051052E">
              <w:rPr>
                <w:rFonts w:asciiTheme="minorHAnsi" w:hAnsiTheme="minorHAnsi" w:cstheme="minorHAnsi"/>
              </w:rPr>
              <w:t xml:space="preserve"> which</w:t>
            </w:r>
            <w:r w:rsidR="00772B0F">
              <w:rPr>
                <w:rFonts w:asciiTheme="minorHAnsi" w:hAnsiTheme="minorHAnsi" w:cstheme="minorHAnsi"/>
              </w:rPr>
              <w:t xml:space="preserve"> business</w:t>
            </w:r>
            <w:r w:rsidR="00880ECA">
              <w:rPr>
                <w:rFonts w:asciiTheme="minorHAnsi" w:hAnsiTheme="minorHAnsi" w:cstheme="minorHAnsi"/>
              </w:rPr>
              <w:t xml:space="preserve"> information </w:t>
            </w:r>
            <w:r w:rsidR="0051052E">
              <w:rPr>
                <w:rFonts w:asciiTheme="minorHAnsi" w:hAnsiTheme="minorHAnsi" w:cstheme="minorHAnsi"/>
              </w:rPr>
              <w:t xml:space="preserve">is </w:t>
            </w:r>
            <w:r w:rsidR="00880ECA">
              <w:rPr>
                <w:rFonts w:asciiTheme="minorHAnsi" w:hAnsiTheme="minorHAnsi" w:cstheme="minorHAnsi"/>
              </w:rPr>
              <w:t>needed by an agen</w:t>
            </w:r>
            <w:r w:rsidR="0051052E">
              <w:rPr>
                <w:rFonts w:asciiTheme="minorHAnsi" w:hAnsiTheme="minorHAnsi" w:cstheme="minorHAnsi"/>
              </w:rPr>
              <w:t xml:space="preserve">t to sign their clients up </w:t>
            </w:r>
            <w:r w:rsidR="00880ECA">
              <w:rPr>
                <w:rFonts w:asciiTheme="minorHAnsi" w:hAnsiTheme="minorHAnsi" w:cstheme="minorHAnsi"/>
              </w:rPr>
              <w:t>to MTD.</w:t>
            </w:r>
          </w:p>
          <w:p w:rsidR="00772B0F" w:rsidRDefault="00772B0F">
            <w:pPr>
              <w:rPr>
                <w:rFonts w:asciiTheme="minorHAnsi" w:hAnsiTheme="minorHAnsi" w:cstheme="minorHAnsi"/>
              </w:rPr>
            </w:pPr>
          </w:p>
          <w:p w:rsidR="00880ECA" w:rsidRDefault="00880EC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 hope it is helpful.</w:t>
            </w:r>
          </w:p>
          <w:p w:rsidR="00880ECA" w:rsidRPr="00666183" w:rsidRDefault="00880ECA">
            <w:pPr>
              <w:rPr>
                <w:rFonts w:asciiTheme="minorHAnsi" w:hAnsiTheme="minorHAnsi" w:cstheme="minorHAnsi"/>
              </w:rPr>
            </w:pPr>
            <w:r w:rsidRPr="00880ECA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5727700" cy="443865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0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32CA" w:rsidRDefault="00174DAA" w:rsidP="00BB32CA">
            <w:pPr>
              <w:pStyle w:val="NormalWeb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174DAA">
              <w:rPr>
                <w:rFonts w:asciiTheme="minorHAnsi" w:hAnsiTheme="minorHAnsi" w:cstheme="minorHAnsi"/>
                <w:b/>
                <w:bCs/>
                <w:u w:val="single"/>
              </w:rPr>
              <w:lastRenderedPageBreak/>
              <w:t>Existing</w:t>
            </w:r>
            <w:r w:rsidR="00BB32CA">
              <w:rPr>
                <w:rFonts w:asciiTheme="minorHAnsi" w:hAnsiTheme="minorHAnsi" w:cstheme="minorHAnsi"/>
                <w:b/>
                <w:bCs/>
                <w:u w:val="single"/>
              </w:rPr>
              <w:t xml:space="preserve"> authorised</w:t>
            </w:r>
            <w:r w:rsidRPr="00174DAA">
              <w:rPr>
                <w:rFonts w:asciiTheme="minorHAnsi" w:hAnsiTheme="minorHAnsi" w:cstheme="minorHAnsi"/>
                <w:b/>
                <w:bCs/>
                <w:u w:val="single"/>
              </w:rPr>
              <w:t xml:space="preserve"> client relationships</w:t>
            </w:r>
          </w:p>
          <w:p w:rsidR="00174DAA" w:rsidRPr="00BB32CA" w:rsidRDefault="00174DAA" w:rsidP="00D85D54">
            <w:pPr>
              <w:pStyle w:val="NormalWeb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BB32CA">
              <w:rPr>
                <w:rFonts w:asciiTheme="minorHAnsi" w:hAnsiTheme="minorHAnsi" w:cstheme="minorHAnsi"/>
                <w:bCs/>
              </w:rPr>
              <w:t xml:space="preserve">If you already have an authorised relationship with a client (64-8) and have made submissions on their behalf you </w:t>
            </w:r>
            <w:r w:rsidRPr="00BB32CA">
              <w:rPr>
                <w:rFonts w:asciiTheme="minorHAnsi" w:hAnsiTheme="minorHAnsi" w:cstheme="minorHAnsi"/>
                <w:bCs/>
                <w:i/>
                <w:u w:val="single"/>
              </w:rPr>
              <w:t>do not have to re-authorise</w:t>
            </w:r>
            <w:r w:rsidRPr="00BB32CA">
              <w:rPr>
                <w:rFonts w:asciiTheme="minorHAnsi" w:hAnsiTheme="minorHAnsi" w:cstheme="minorHAnsi"/>
                <w:bCs/>
              </w:rPr>
              <w:t xml:space="preserve"> them to act for them under Making Tax Digital.  You </w:t>
            </w:r>
            <w:r w:rsidRPr="00BB32CA">
              <w:rPr>
                <w:rFonts w:asciiTheme="minorHAnsi" w:hAnsiTheme="minorHAnsi" w:cstheme="minorHAnsi"/>
                <w:bCs/>
                <w:i/>
                <w:u w:val="single"/>
              </w:rPr>
              <w:t>do</w:t>
            </w:r>
            <w:r w:rsidRPr="00BB32CA">
              <w:rPr>
                <w:rFonts w:asciiTheme="minorHAnsi" w:hAnsiTheme="minorHAnsi" w:cstheme="minorHAnsi"/>
                <w:bCs/>
              </w:rPr>
              <w:t xml:space="preserve"> have to link your clients to your agent services account and </w:t>
            </w:r>
            <w:r w:rsidR="0051052E" w:rsidRPr="00BB32CA">
              <w:rPr>
                <w:rFonts w:asciiTheme="minorHAnsi" w:hAnsiTheme="minorHAnsi" w:cstheme="minorHAnsi"/>
                <w:bCs/>
              </w:rPr>
              <w:t>sign them up. Y</w:t>
            </w:r>
            <w:r w:rsidRPr="00BB32CA">
              <w:rPr>
                <w:rFonts w:asciiTheme="minorHAnsi" w:hAnsiTheme="minorHAnsi" w:cstheme="minorHAnsi"/>
                <w:bCs/>
              </w:rPr>
              <w:t>ou can find out how to do that on the step by step guide for agents on GOV.UK.</w:t>
            </w:r>
          </w:p>
          <w:p w:rsidR="00D05A4F" w:rsidRDefault="00D05A4F" w:rsidP="00D05A4F">
            <w:pP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</w:p>
          <w:p w:rsidR="00D05A4F" w:rsidRDefault="00880ECA" w:rsidP="00880ECA">
            <w:pPr>
              <w:pStyle w:val="ListParagraph"/>
              <w:numPr>
                <w:ilvl w:val="0"/>
                <w:numId w:val="7"/>
              </w:numPr>
              <w:rPr>
                <w:b/>
                <w:sz w:val="24"/>
                <w:szCs w:val="24"/>
                <w:u w:val="single"/>
              </w:rPr>
            </w:pPr>
            <w:r w:rsidRPr="0051052E">
              <w:rPr>
                <w:b/>
                <w:sz w:val="24"/>
                <w:szCs w:val="24"/>
                <w:u w:val="single"/>
              </w:rPr>
              <w:t>Confirmation of sign up</w:t>
            </w:r>
          </w:p>
          <w:p w:rsidR="0051052E" w:rsidRPr="0051052E" w:rsidRDefault="0051052E" w:rsidP="0051052E">
            <w:pPr>
              <w:pStyle w:val="ListParagraph"/>
              <w:rPr>
                <w:b/>
                <w:sz w:val="24"/>
                <w:szCs w:val="24"/>
                <w:u w:val="single"/>
              </w:rPr>
            </w:pPr>
          </w:p>
          <w:p w:rsidR="00D05A4F" w:rsidRDefault="00880ECA" w:rsidP="00666183">
            <w:pPr>
              <w:rPr>
                <w:rFonts w:asciiTheme="minorHAnsi" w:hAnsiTheme="minorHAnsi" w:cstheme="minorHAnsi"/>
              </w:rPr>
            </w:pPr>
            <w:r w:rsidRPr="00880ECA">
              <w:rPr>
                <w:rFonts w:asciiTheme="minorHAnsi" w:hAnsiTheme="minorHAnsi" w:cstheme="minorHAnsi"/>
              </w:rPr>
              <w:t xml:space="preserve">When you sign a client up for MTD you will receive a confirmation email from HMRC </w:t>
            </w:r>
            <w:r w:rsidR="0051052E">
              <w:rPr>
                <w:rFonts w:asciiTheme="minorHAnsi" w:hAnsiTheme="minorHAnsi" w:cstheme="minorHAnsi"/>
              </w:rPr>
              <w:t xml:space="preserve">within 72 hours </w:t>
            </w:r>
            <w:r w:rsidRPr="00880ECA">
              <w:rPr>
                <w:rFonts w:asciiTheme="minorHAnsi" w:hAnsiTheme="minorHAnsi" w:cstheme="minorHAnsi"/>
              </w:rPr>
              <w:t xml:space="preserve">to say that it has </w:t>
            </w:r>
            <w:r w:rsidR="0051052E">
              <w:rPr>
                <w:rFonts w:asciiTheme="minorHAnsi" w:hAnsiTheme="minorHAnsi" w:cstheme="minorHAnsi"/>
              </w:rPr>
              <w:t>been successful</w:t>
            </w:r>
            <w:r w:rsidRPr="00880ECA">
              <w:rPr>
                <w:rFonts w:asciiTheme="minorHAnsi" w:hAnsiTheme="minorHAnsi" w:cstheme="minorHAnsi"/>
              </w:rPr>
              <w:t>. The email is copied below, for information, so you will recognise the format when you start to receive them.</w:t>
            </w:r>
          </w:p>
          <w:p w:rsidR="00880ECA" w:rsidRDefault="00880ECA" w:rsidP="00666183"/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0"/>
            </w:tblGrid>
            <w:tr w:rsidR="00D05A4F" w:rsidTr="004F3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000000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2"/>
                    <w:gridCol w:w="8348"/>
                  </w:tblGrid>
                  <w:tr w:rsidR="00D05A4F" w:rsidTr="004F302F">
                    <w:trPr>
                      <w:tblCellSpacing w:w="0" w:type="dxa"/>
                    </w:trPr>
                    <w:tc>
                      <w:tcPr>
                        <w:tcW w:w="300" w:type="dxa"/>
                        <w:tcBorders>
                          <w:top w:val="nil"/>
                          <w:left w:val="nil"/>
                          <w:bottom w:val="single" w:sz="48" w:space="0" w:color="005EA5"/>
                          <w:right w:val="nil"/>
                        </w:tcBorders>
                        <w:shd w:val="clear" w:color="auto" w:fill="000000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D05A4F" w:rsidRDefault="00D05A4F" w:rsidP="00D05A4F">
                        <w:pPr>
                          <w:spacing w:before="100" w:beforeAutospacing="1" w:after="100" w:afterAutospacing="1"/>
                          <w:rPr>
                            <w:lang w:eastAsia="en-US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noProof/>
                            <w:color w:val="FFFFFF"/>
                            <w:sz w:val="45"/>
                            <w:szCs w:val="45"/>
                          </w:rPr>
                          <w:drawing>
                            <wp:inline distT="0" distB="0" distL="0" distR="0" wp14:anchorId="36943D7B" wp14:editId="700768D5">
                              <wp:extent cx="287020" cy="247650"/>
                              <wp:effectExtent l="0" t="0" r="0" b="0"/>
                              <wp:docPr id="3" name="Picture 3" descr="https://www.qa.tax.service.gov.uk/assets/2.230.0/images/gov.uk_logotype_crown.png">
                                <a:hlinkClick xmlns:a="http://schemas.openxmlformats.org/drawingml/2006/main" r:id="rId10" tgtFrame="_blank" tooltip="Go to the GOV.UK homepage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mail-m_-6179278956799400065_x0000_i1025" descr="https://www.qa.tax.service.gov.uk/assets/2.230.0/images/gov.uk_logotype_crown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702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8" w:space="0" w:color="005EA5"/>
                          <w:right w:val="nil"/>
                        </w:tcBorders>
                        <w:shd w:val="clear" w:color="auto" w:fill="000000"/>
                        <w:tcMar>
                          <w:top w:w="60" w:type="dxa"/>
                          <w:left w:w="0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:rsidR="00D05A4F" w:rsidRDefault="00A21CD0" w:rsidP="00D05A4F">
                        <w:pPr>
                          <w:spacing w:before="100" w:beforeAutospacing="1" w:after="100" w:afterAutospacing="1"/>
                          <w:rPr>
                            <w:lang w:eastAsia="en-US"/>
                          </w:rPr>
                        </w:pPr>
                        <w:hyperlink r:id="rId12" w:tgtFrame="_blank" w:tooltip="Go to the GOV.UK homepage" w:history="1">
                          <w:r w:rsidR="00D05A4F">
                            <w:rPr>
                              <w:rStyle w:val="Hyperlink"/>
                              <w:rFonts w:ascii="Helvetica" w:hAnsi="Helvetica" w:cs="Helvetica"/>
                              <w:b/>
                              <w:bCs/>
                              <w:color w:val="FFFFFF"/>
                              <w:sz w:val="45"/>
                              <w:szCs w:val="45"/>
                              <w:lang w:eastAsia="en-US"/>
                            </w:rPr>
                            <w:t>GOV.UK</w:t>
                          </w:r>
                        </w:hyperlink>
                        <w:r w:rsidR="00D05A4F">
                          <w:rPr>
                            <w:rFonts w:ascii="Helvetica" w:hAnsi="Helvetica" w:cs="Helvetica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</w:tbl>
                <w:p w:rsidR="00D05A4F" w:rsidRDefault="00D05A4F" w:rsidP="00D05A4F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05A4F" w:rsidTr="004F3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0"/>
                    <w:gridCol w:w="8410"/>
                  </w:tblGrid>
                  <w:tr w:rsidR="00D05A4F" w:rsidTr="004F302F">
                    <w:trPr>
                      <w:tblCellSpacing w:w="0" w:type="dxa"/>
                    </w:trPr>
                    <w:tc>
                      <w:tcPr>
                        <w:tcW w:w="340" w:type="dxa"/>
                        <w:tcBorders>
                          <w:top w:val="nil"/>
                          <w:left w:val="nil"/>
                          <w:bottom w:val="single" w:sz="8" w:space="0" w:color="808080"/>
                          <w:right w:val="nil"/>
                        </w:tcBorders>
                        <w:shd w:val="clear" w:color="auto" w:fill="FFFFFF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D05A4F" w:rsidRDefault="00D05A4F" w:rsidP="00D05A4F">
                        <w:pPr>
                          <w:spacing w:before="100" w:beforeAutospacing="1" w:after="100" w:afterAutospacing="1"/>
                          <w:rPr>
                            <w:lang w:eastAsia="en-US"/>
                          </w:rPr>
                        </w:pPr>
                        <w:r>
                          <w:rPr>
                            <w:rFonts w:ascii="Helvetica" w:hAnsi="Helvetica" w:cs="Helvetica"/>
                            <w:noProof/>
                            <w:sz w:val="27"/>
                            <w:szCs w:val="27"/>
                          </w:rPr>
                          <w:drawing>
                            <wp:inline distT="0" distB="0" distL="0" distR="0" wp14:anchorId="674D995B" wp14:editId="27011A24">
                              <wp:extent cx="247650" cy="247650"/>
                              <wp:effectExtent l="0" t="0" r="0" b="0"/>
                              <wp:docPr id="2" name="Picture 2" descr="https://www.qa.tax.service.gov.uk/assets/2.230.0/images/icons/crests/hmrc_crest_27px_x2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gmail-m_-6179278956799400065_x0000_i1026" descr="https://www.qa.tax.service.gov.uk/assets/2.230.0/images/icons/crests/hmrc_crest_27px_x2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7650" cy="247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8" w:space="0" w:color="808080"/>
                          <w:right w:val="nil"/>
                        </w:tcBorders>
                        <w:shd w:val="clear" w:color="auto" w:fill="FFFFFF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D05A4F" w:rsidRDefault="00D05A4F" w:rsidP="00D05A4F">
                        <w:pPr>
                          <w:spacing w:before="100" w:beforeAutospacing="1" w:after="100" w:afterAutospacing="1"/>
                          <w:rPr>
                            <w:lang w:eastAsia="en-US"/>
                          </w:rPr>
                        </w:pPr>
                        <w:r>
                          <w:rPr>
                            <w:rFonts w:ascii="Helvetica" w:hAnsi="Helvetica" w:cs="Helvetica"/>
                            <w:sz w:val="27"/>
                            <w:szCs w:val="27"/>
                            <w:lang w:eastAsia="en-US"/>
                          </w:rPr>
                          <w:t>HM Revenue &amp; Customs</w:t>
                        </w:r>
                      </w:p>
                    </w:tc>
                  </w:tr>
                </w:tbl>
                <w:p w:rsidR="00D05A4F" w:rsidRDefault="00D05A4F" w:rsidP="00D05A4F">
                  <w:pPr>
                    <w:rPr>
                      <w:rFonts w:ascii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D05A4F" w:rsidRPr="00BC12F5" w:rsidTr="004F3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0"/>
                  </w:tblGrid>
                  <w:tr w:rsidR="00D05A4F" w:rsidRPr="00BC12F5" w:rsidTr="004F302F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375" w:type="dxa"/>
                          <w:left w:w="300" w:type="dxa"/>
                          <w:bottom w:w="300" w:type="dxa"/>
                          <w:right w:w="300" w:type="dxa"/>
                        </w:tcMar>
                        <w:vAlign w:val="center"/>
                        <w:hideMark/>
                      </w:tcPr>
                      <w:p w:rsidR="00D05A4F" w:rsidRPr="00BC12F5" w:rsidRDefault="00D05A4F" w:rsidP="00D05A4F">
                        <w:pPr>
                          <w:pStyle w:val="Heading1"/>
                          <w:spacing w:after="450"/>
                          <w:rPr>
                            <w:rFonts w:eastAsiaTheme="minorHAnsi"/>
                            <w:sz w:val="24"/>
                            <w:szCs w:val="24"/>
                            <w:lang w:eastAsia="en-US"/>
                          </w:rPr>
                        </w:pPr>
                        <w:r w:rsidRPr="00BC12F5">
                          <w:rPr>
                            <w:rFonts w:ascii="Helvetica" w:eastAsiaTheme="minorHAnsi" w:hAnsi="Helvetica" w:cs="Helvetica"/>
                            <w:sz w:val="24"/>
                            <w:szCs w:val="24"/>
                            <w:lang w:eastAsia="en-US"/>
                          </w:rPr>
                          <w:t>You’ve signed up your client for Making Tax Digital for VAT</w:t>
                        </w:r>
                      </w:p>
                      <w:p w:rsidR="00D05A4F" w:rsidRPr="00BC12F5" w:rsidRDefault="00D05A4F" w:rsidP="00D05A4F">
                        <w:pPr>
                          <w:pStyle w:val="NormalWeb"/>
                          <w:spacing w:after="450" w:afterAutospacing="0"/>
                          <w:rPr>
                            <w:lang w:eastAsia="en-US"/>
                          </w:rPr>
                        </w:pPr>
                        <w:r w:rsidRPr="00BC12F5">
                          <w:rPr>
                            <w:rFonts w:ascii="Helvetica" w:hAnsi="Helvetica" w:cs="Helvetica"/>
                            <w:lang w:eastAsia="en-US"/>
                          </w:rPr>
                          <w:t>Dear Agent</w:t>
                        </w:r>
                      </w:p>
                      <w:p w:rsidR="00D05A4F" w:rsidRPr="00BC12F5" w:rsidRDefault="00D05A4F" w:rsidP="00D05A4F">
                        <w:pPr>
                          <w:pStyle w:val="NormalWeb"/>
                          <w:spacing w:after="450" w:afterAutospacing="0"/>
                          <w:rPr>
                            <w:lang w:eastAsia="en-US"/>
                          </w:rPr>
                        </w:pPr>
                        <w:r w:rsidRPr="00BC12F5">
                          <w:rPr>
                            <w:rFonts w:ascii="Helvetica" w:hAnsi="Helvetica" w:cs="Helvetica"/>
                            <w:lang w:eastAsia="en-US"/>
                          </w:rPr>
                          <w:t>You have signed up your client to use software to submit their VAT Returns.</w:t>
                        </w:r>
                      </w:p>
                      <w:p w:rsidR="00D05A4F" w:rsidRPr="00BC12F5" w:rsidRDefault="00D05A4F" w:rsidP="00D05A4F">
                        <w:pPr>
                          <w:pStyle w:val="NormalWeb"/>
                          <w:spacing w:before="0" w:beforeAutospacing="0" w:after="0" w:afterAutospacing="0"/>
                          <w:rPr>
                            <w:lang w:eastAsia="en-US"/>
                          </w:rPr>
                        </w:pPr>
                        <w:r w:rsidRPr="00BC12F5">
                          <w:rPr>
                            <w:rFonts w:ascii="Helvetica" w:hAnsi="Helvetica" w:cs="Helvetica"/>
                            <w:lang w:eastAsia="en-US"/>
                          </w:rPr>
                          <w:t>Your client’s VAT registration number is:</w:t>
                        </w:r>
                      </w:p>
                      <w:p w:rsidR="00D05A4F" w:rsidRPr="00BC12F5" w:rsidRDefault="0051052E" w:rsidP="00D05A4F">
                        <w:pPr>
                          <w:pStyle w:val="NormalWeb"/>
                          <w:spacing w:after="450" w:afterAutospacing="0"/>
                          <w:rPr>
                            <w:lang w:eastAsia="en-US"/>
                          </w:rPr>
                        </w:pPr>
                        <w:r>
                          <w:rPr>
                            <w:rFonts w:ascii="Helvetica" w:hAnsi="Helvetica" w:cs="Helvetica"/>
                            <w:b/>
                            <w:bCs/>
                            <w:lang w:eastAsia="en-US"/>
                          </w:rPr>
                          <w:t>123456789</w:t>
                        </w:r>
                      </w:p>
                      <w:p w:rsidR="00D05A4F" w:rsidRPr="00BC12F5" w:rsidRDefault="00D05A4F" w:rsidP="00D05A4F">
                        <w:pPr>
                          <w:pStyle w:val="NormalWeb"/>
                          <w:spacing w:after="450" w:afterAutospacing="0"/>
                          <w:rPr>
                            <w:lang w:eastAsia="en-US"/>
                          </w:rPr>
                        </w:pPr>
                        <w:r w:rsidRPr="00BC12F5">
                          <w:rPr>
                            <w:rFonts w:ascii="Helvetica" w:hAnsi="Helvetica" w:cs="Helvetica"/>
                            <w:lang w:eastAsia="en-US"/>
                          </w:rPr>
                          <w:t>You must tell your client that you have signed them up for Making Tax Digital for VAT</w:t>
                        </w:r>
                      </w:p>
                      <w:p w:rsidR="00D05A4F" w:rsidRPr="00BC12F5" w:rsidRDefault="00D05A4F" w:rsidP="00D05A4F">
                        <w:pPr>
                          <w:pStyle w:val="NormalWeb"/>
                          <w:spacing w:after="450" w:afterAutospacing="0"/>
                          <w:rPr>
                            <w:lang w:eastAsia="en-US"/>
                          </w:rPr>
                        </w:pPr>
                        <w:r w:rsidRPr="00BC12F5">
                          <w:rPr>
                            <w:rFonts w:ascii="Helvetica" w:hAnsi="Helvetica" w:cs="Helvetica"/>
                            <w:b/>
                            <w:bCs/>
                            <w:lang w:eastAsia="en-US"/>
                          </w:rPr>
                          <w:t>What you need to do next</w:t>
                        </w:r>
                      </w:p>
                      <w:p w:rsidR="00D05A4F" w:rsidRPr="00BC12F5" w:rsidRDefault="00D05A4F" w:rsidP="00D05A4F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  <w:rPr>
                            <w:lang w:eastAsia="en-US"/>
                          </w:rPr>
                        </w:pPr>
                        <w:r w:rsidRPr="00BC12F5">
                          <w:rPr>
                            <w:rFonts w:ascii="Helvetica" w:hAnsi="Helvetica" w:cs="Helvetica"/>
                            <w:lang w:eastAsia="en-US"/>
                          </w:rPr>
                          <w:t>Choose relevant third party software. If your client will use software, it is important they choose a package that can work with yours.</w:t>
                        </w:r>
                      </w:p>
                      <w:p w:rsidR="00D05A4F" w:rsidRPr="00BC12F5" w:rsidRDefault="00D05A4F" w:rsidP="00D05A4F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  <w:rPr>
                            <w:lang w:eastAsia="en-US"/>
                          </w:rPr>
                        </w:pPr>
                        <w:r w:rsidRPr="00BC12F5">
                          <w:rPr>
                            <w:rFonts w:ascii="Helvetica" w:hAnsi="Helvetica" w:cs="Helvetica"/>
                            <w:lang w:eastAsia="en-US"/>
                          </w:rPr>
                          <w:t>Allow your software to submit VAT Returns to HMRC. You might need to sign in with your Government Gateway details.</w:t>
                        </w:r>
                      </w:p>
                      <w:p w:rsidR="00D05A4F" w:rsidRPr="00BC12F5" w:rsidRDefault="00D05A4F" w:rsidP="00D05A4F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  <w:rPr>
                            <w:lang w:eastAsia="en-US"/>
                          </w:rPr>
                        </w:pPr>
                        <w:r w:rsidRPr="00BC12F5">
                          <w:rPr>
                            <w:rFonts w:ascii="Helvetica" w:hAnsi="Helvetica" w:cs="Helvetica"/>
                            <w:lang w:eastAsia="en-US"/>
                          </w:rPr>
                          <w:t>Use software to record your client’s sales and purchases.</w:t>
                        </w:r>
                      </w:p>
                      <w:p w:rsidR="00D05A4F" w:rsidRPr="00BC12F5" w:rsidRDefault="00D05A4F" w:rsidP="00D05A4F">
                        <w:pPr>
                          <w:numPr>
                            <w:ilvl w:val="0"/>
                            <w:numId w:val="12"/>
                          </w:numPr>
                          <w:spacing w:before="100" w:beforeAutospacing="1" w:after="100" w:afterAutospacing="1"/>
                          <w:rPr>
                            <w:lang w:eastAsia="en-US"/>
                          </w:rPr>
                        </w:pPr>
                        <w:r w:rsidRPr="00BC12F5">
                          <w:rPr>
                            <w:rFonts w:ascii="Helvetica" w:hAnsi="Helvetica" w:cs="Helvetica"/>
                            <w:lang w:eastAsia="en-US"/>
                          </w:rPr>
                          <w:t>Submit your client’s VAT Returns before their deadlines.</w:t>
                        </w:r>
                      </w:p>
                      <w:p w:rsidR="00D05A4F" w:rsidRPr="00BC12F5" w:rsidRDefault="00D05A4F" w:rsidP="00D05A4F">
                        <w:pPr>
                          <w:pStyle w:val="NormalWeb"/>
                          <w:spacing w:after="450" w:afterAutospacing="0"/>
                          <w:rPr>
                            <w:lang w:eastAsia="en-US"/>
                          </w:rPr>
                        </w:pPr>
                        <w:r w:rsidRPr="00BC12F5">
                          <w:rPr>
                            <w:rFonts w:ascii="Helvetica" w:hAnsi="Helvetica" w:cs="Helvetica"/>
                            <w:lang w:eastAsia="en-US"/>
                          </w:rPr>
                          <w:lastRenderedPageBreak/>
                          <w:t>Your client can view their VAT Return deadlines in their accounting software or business tax account.</w:t>
                        </w:r>
                      </w:p>
                      <w:p w:rsidR="00D05A4F" w:rsidRPr="00BC12F5" w:rsidRDefault="00D05A4F" w:rsidP="00D05A4F">
                        <w:pPr>
                          <w:pStyle w:val="NormalWeb"/>
                          <w:spacing w:after="450" w:afterAutospacing="0"/>
                          <w:rPr>
                            <w:rFonts w:ascii="Helvetica" w:hAnsi="Helvetica" w:cs="Helvetica"/>
                            <w:b/>
                            <w:bCs/>
                            <w:lang w:eastAsia="en-US"/>
                          </w:rPr>
                        </w:pPr>
                        <w:r w:rsidRPr="00BC12F5">
                          <w:rPr>
                            <w:rFonts w:ascii="Helvetica" w:hAnsi="Helvetica" w:cs="Helvetica"/>
                            <w:b/>
                            <w:bCs/>
                            <w:lang w:eastAsia="en-US"/>
                          </w:rPr>
                          <w:t>Why you are receiving this email</w:t>
                        </w:r>
                      </w:p>
                      <w:p w:rsidR="00D05A4F" w:rsidRPr="00BC12F5" w:rsidRDefault="00D05A4F" w:rsidP="00D05A4F">
                        <w:pPr>
                          <w:pStyle w:val="NormalWeb"/>
                          <w:spacing w:after="450" w:afterAutospacing="0"/>
                          <w:rPr>
                            <w:lang w:eastAsia="en-US"/>
                          </w:rPr>
                        </w:pPr>
                        <w:r w:rsidRPr="00BC12F5">
                          <w:rPr>
                            <w:rFonts w:ascii="Helvetica" w:hAnsi="Helvetica" w:cs="Helvetica"/>
                            <w:lang w:eastAsia="en-US"/>
                          </w:rPr>
                          <w:t>We send a confirmation email when you sign up a client.</w:t>
                        </w:r>
                      </w:p>
                      <w:tbl>
                        <w:tblPr>
                          <w:tblpPr w:leftFromText="180" w:rightFromText="180" w:vertAnchor="text" w:horzAnchor="margin" w:tblpY="500"/>
                          <w:tblOverlap w:val="never"/>
                          <w:tblW w:w="8249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395"/>
                          <w:gridCol w:w="2854"/>
                        </w:tblGrid>
                        <w:tr w:rsidR="00880ECA" w:rsidRPr="00BC12F5" w:rsidTr="00CE0AF0">
                          <w:trPr>
                            <w:trHeight w:val="2046"/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880ECA" w:rsidRPr="00BC12F5" w:rsidRDefault="00880ECA" w:rsidP="00880ECA">
                              <w:pPr>
                                <w:spacing w:before="100" w:beforeAutospacing="1" w:after="100" w:afterAutospacing="1"/>
                                <w:rPr>
                                  <w:lang w:eastAsia="en-US"/>
                                </w:rPr>
                              </w:pPr>
                              <w:r w:rsidRPr="00BC12F5">
                                <w:rPr>
                                  <w:rFonts w:ascii="Helvetica" w:hAnsi="Helvetica" w:cs="Helvetica"/>
                                  <w:lang w:eastAsia="en-US"/>
                                </w:rPr>
                                <w:t xml:space="preserve">If you’re unsure an email is from HMRC: </w:t>
                              </w:r>
                            </w:p>
                            <w:p w:rsidR="00880ECA" w:rsidRPr="00BC12F5" w:rsidRDefault="00880ECA" w:rsidP="00880ECA">
                              <w:pPr>
                                <w:spacing w:before="100" w:beforeAutospacing="1" w:after="75"/>
                                <w:rPr>
                                  <w:lang w:eastAsia="en-US"/>
                                </w:rPr>
                              </w:pPr>
                              <w:r w:rsidRPr="00BC12F5">
                                <w:rPr>
                                  <w:rFonts w:ascii="Symbol" w:hAnsi="Symbol"/>
                                  <w:lang w:eastAsia="en-US"/>
                                </w:rPr>
                                <w:t></w:t>
                              </w:r>
                              <w:r w:rsidRPr="00BC12F5">
                                <w:rPr>
                                  <w:lang w:eastAsia="en-US"/>
                                </w:rPr>
                                <w:t xml:space="preserve">       </w:t>
                              </w:r>
                              <w:r w:rsidRPr="00BC12F5">
                                <w:rPr>
                                  <w:rFonts w:ascii="Helvetica" w:hAnsi="Helvetica" w:cs="Helvetica"/>
                                  <w:lang w:eastAsia="en-US"/>
                                </w:rPr>
                                <w:t>Do not reply to it or click on any links</w:t>
                              </w:r>
                            </w:p>
                            <w:p w:rsidR="00880ECA" w:rsidRPr="00BC12F5" w:rsidRDefault="00880ECA" w:rsidP="00880ECA">
                              <w:pPr>
                                <w:spacing w:before="100" w:beforeAutospacing="1" w:after="75"/>
                                <w:rPr>
                                  <w:lang w:eastAsia="en-US"/>
                                </w:rPr>
                              </w:pPr>
                              <w:r w:rsidRPr="00BC12F5">
                                <w:rPr>
                                  <w:rFonts w:ascii="Symbol" w:hAnsi="Symbol"/>
                                  <w:lang w:eastAsia="en-US"/>
                                </w:rPr>
                                <w:t></w:t>
                              </w:r>
                              <w:r w:rsidRPr="00BC12F5">
                                <w:rPr>
                                  <w:lang w:eastAsia="en-US"/>
                                </w:rPr>
                                <w:t xml:space="preserve">       </w:t>
                              </w:r>
                              <w:r w:rsidRPr="00BC12F5">
                                <w:rPr>
                                  <w:rFonts w:ascii="Helvetica" w:hAnsi="Helvetica" w:cs="Helvetica"/>
                                  <w:lang w:eastAsia="en-US"/>
                                </w:rPr>
                                <w:t xml:space="preserve">Report the suspicious email to HMRC - to find out how, go to </w:t>
                              </w:r>
                              <w:hyperlink r:id="rId14" w:tgtFrame="_blank" w:history="1">
                                <w:r w:rsidRPr="00BC12F5">
                                  <w:rPr>
                                    <w:rStyle w:val="Hyperlink"/>
                                    <w:rFonts w:ascii="Helvetica" w:hAnsi="Helvetica" w:cs="Helvetica"/>
                                    <w:lang w:eastAsia="en-US"/>
                                  </w:rPr>
                                  <w:t>GOV.UK</w:t>
                                </w:r>
                              </w:hyperlink>
                              <w:r w:rsidRPr="00BC12F5">
                                <w:rPr>
                                  <w:rFonts w:ascii="Helvetica" w:hAnsi="Helvetica" w:cs="Helvetica"/>
                                  <w:lang w:eastAsia="en-US"/>
                                </w:rPr>
                                <w:t xml:space="preserve"> and search for 'Avoid and report internet scams and phishing'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p w:rsidR="00880ECA" w:rsidRPr="00BC12F5" w:rsidRDefault="00880ECA" w:rsidP="00880ECA">
                              <w:pPr>
                                <w:spacing w:before="100" w:beforeAutospacing="1" w:after="100" w:afterAutospacing="1"/>
                                <w:jc w:val="right"/>
                                <w:rPr>
                                  <w:lang w:eastAsia="en-US"/>
                                </w:rPr>
                              </w:pPr>
                              <w:r w:rsidRPr="00BC12F5">
                                <w:rPr>
                                  <w:rFonts w:ascii="Helvetica" w:hAnsi="Helvetica" w:cs="Helvetica"/>
                                  <w:noProof/>
                                </w:rPr>
                                <w:drawing>
                                  <wp:inline distT="0" distB="0" distL="0" distR="0" wp14:anchorId="098BF685" wp14:editId="597D1512">
                                    <wp:extent cx="1431290" cy="1162050"/>
                                    <wp:effectExtent l="0" t="0" r="0" b="0"/>
                                    <wp:docPr id="5" name="Picture 5" descr="https://www.qa.tax.service.gov.uk/assets/2.230.0/images/govuk-crest-2x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gmail-m_-6179278956799400065_x0000_i1027" descr="https://www.qa.tax.service.gov.uk/assets/2.230.0/images/govuk-crest-2x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31290" cy="1162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D05A4F" w:rsidRPr="00BC12F5" w:rsidRDefault="00D05A4F" w:rsidP="00D05A4F">
                        <w:pPr>
                          <w:pStyle w:val="NormalWeb"/>
                          <w:spacing w:after="450" w:afterAutospacing="0"/>
                          <w:rPr>
                            <w:lang w:eastAsia="en-US"/>
                          </w:rPr>
                        </w:pPr>
                        <w:r w:rsidRPr="00BC12F5">
                          <w:rPr>
                            <w:rFonts w:ascii="Helvetica" w:hAnsi="Helvetica" w:cs="Helvetica"/>
                            <w:lang w:eastAsia="en-US"/>
                          </w:rPr>
                          <w:t>From HMRC Making Tax Digital for Business VAT</w:t>
                        </w:r>
                      </w:p>
                    </w:tc>
                  </w:tr>
                </w:tbl>
                <w:p w:rsidR="00D05A4F" w:rsidRPr="00BC12F5" w:rsidRDefault="00D05A4F" w:rsidP="00D05A4F">
                  <w:pPr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</w:tr>
            <w:tr w:rsidR="00D05A4F" w:rsidRPr="00BC12F5" w:rsidTr="004F302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05A4F" w:rsidRPr="00BC12F5" w:rsidRDefault="00D05A4F" w:rsidP="00D05A4F">
                  <w:pPr>
                    <w:rPr>
                      <w:rFonts w:asciiTheme="minorHAnsi" w:hAnsiTheme="minorHAnsi" w:cstheme="minorBidi"/>
                      <w:lang w:eastAsia="en-US"/>
                    </w:rPr>
                  </w:pPr>
                </w:p>
              </w:tc>
            </w:tr>
          </w:tbl>
          <w:p w:rsidR="00D05A4F" w:rsidRDefault="00D05A4F" w:rsidP="00666183"/>
        </w:tc>
      </w:tr>
    </w:tbl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C0405F" w:rsidTr="004F302F">
        <w:tc>
          <w:tcPr>
            <w:tcW w:w="90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5F" w:rsidRDefault="00C0405F" w:rsidP="004F302F">
            <w:pPr>
              <w:rPr>
                <w:rFonts w:ascii="Calibri" w:hAnsi="Calibri" w:cs="Calibri"/>
                <w:b/>
                <w:bCs/>
                <w:color w:val="000000"/>
              </w:rPr>
            </w:pPr>
            <w:bookmarkStart w:id="3" w:name="Reminders"/>
            <w:r w:rsidRPr="00BE0BE7">
              <w:rPr>
                <w:rFonts w:ascii="Calibri" w:hAnsi="Calibri" w:cs="Calibri"/>
                <w:b/>
                <w:bCs/>
                <w:color w:val="000000"/>
                <w:sz w:val="28"/>
              </w:rPr>
              <w:lastRenderedPageBreak/>
              <w:t>Key reminders</w:t>
            </w:r>
            <w:bookmarkEnd w:id="3"/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405F" w:rsidTr="00880ECA">
        <w:tc>
          <w:tcPr>
            <w:tcW w:w="9016" w:type="dxa"/>
            <w:shd w:val="clear" w:color="auto" w:fill="FFFFFF" w:themeFill="background1"/>
          </w:tcPr>
          <w:p w:rsidR="00C0405F" w:rsidRDefault="00C0405F"/>
          <w:p w:rsidR="009D64F4" w:rsidRPr="00BB32CA" w:rsidRDefault="009D64F4" w:rsidP="009D64F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8"/>
              </w:rPr>
            </w:pPr>
            <w:r w:rsidRPr="00A07155">
              <w:rPr>
                <w:rFonts w:asciiTheme="minorHAnsi" w:hAnsiTheme="minorHAnsi" w:cstheme="minorHAnsi"/>
                <w:b/>
                <w:sz w:val="24"/>
                <w:szCs w:val="28"/>
                <w:u w:val="single"/>
              </w:rPr>
              <w:t>Requirement to Sign-up to Making Tax Digital</w:t>
            </w:r>
          </w:p>
          <w:p w:rsidR="00BB32CA" w:rsidRPr="00A07155" w:rsidRDefault="00BB32CA" w:rsidP="00BB32CA">
            <w:pPr>
              <w:pStyle w:val="ListParagraph"/>
              <w:rPr>
                <w:rFonts w:asciiTheme="minorHAnsi" w:hAnsiTheme="minorHAnsi" w:cstheme="minorHAnsi"/>
                <w:sz w:val="24"/>
                <w:szCs w:val="28"/>
              </w:rPr>
            </w:pPr>
          </w:p>
          <w:p w:rsidR="009D64F4" w:rsidRPr="000F7183" w:rsidRDefault="009D64F4" w:rsidP="009D64F4">
            <w:pPr>
              <w:rPr>
                <w:rFonts w:asciiTheme="minorHAnsi" w:hAnsiTheme="minorHAnsi" w:cstheme="minorHAnsi"/>
                <w:b/>
                <w:color w:val="C00000"/>
              </w:rPr>
            </w:pPr>
            <w:r>
              <w:rPr>
                <w:rFonts w:asciiTheme="minorHAnsi" w:hAnsiTheme="minorHAnsi" w:cstheme="minorHAnsi"/>
              </w:rPr>
              <w:t xml:space="preserve">Please note that all businesses affected by MTD have to either sign themselves up or have an agent sign them up on their behalf. </w:t>
            </w:r>
            <w:r w:rsidRPr="000F7183">
              <w:rPr>
                <w:rFonts w:asciiTheme="minorHAnsi" w:hAnsiTheme="minorHAnsi" w:cstheme="minorHAnsi"/>
                <w:b/>
                <w:color w:val="C00000"/>
              </w:rPr>
              <w:t xml:space="preserve">This is not automatic and HMRC are not signing businesses up.  </w:t>
            </w:r>
          </w:p>
          <w:p w:rsidR="009D64F4" w:rsidRPr="00A07155" w:rsidRDefault="009D64F4">
            <w:pPr>
              <w:rPr>
                <w:sz w:val="22"/>
              </w:rPr>
            </w:pPr>
          </w:p>
          <w:p w:rsidR="00666183" w:rsidRPr="00A07155" w:rsidRDefault="00666183" w:rsidP="00666183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A07155">
              <w:rPr>
                <w:rFonts w:asciiTheme="minorHAnsi" w:hAnsiTheme="minorHAnsi" w:cstheme="minorHAnsi"/>
                <w:b/>
                <w:sz w:val="24"/>
                <w:u w:val="single"/>
              </w:rPr>
              <w:t>Step by Step Guides</w:t>
            </w:r>
          </w:p>
          <w:p w:rsidR="00666183" w:rsidRPr="00B44669" w:rsidRDefault="00666183" w:rsidP="00666183">
            <w:pPr>
              <w:rPr>
                <w:rFonts w:asciiTheme="minorHAnsi" w:hAnsiTheme="minorHAnsi" w:cstheme="minorHAnsi"/>
              </w:rPr>
            </w:pPr>
          </w:p>
          <w:p w:rsidR="00666183" w:rsidRPr="00B44669" w:rsidRDefault="00A21CD0" w:rsidP="00666183">
            <w:pPr>
              <w:rPr>
                <w:rFonts w:asciiTheme="minorHAnsi" w:hAnsiTheme="minorHAnsi" w:cstheme="minorHAnsi"/>
              </w:rPr>
            </w:pPr>
            <w:hyperlink r:id="rId16" w:history="1">
              <w:r w:rsidR="00666183" w:rsidRPr="00B44669">
                <w:rPr>
                  <w:rStyle w:val="Hyperlink"/>
                  <w:rFonts w:asciiTheme="minorHAnsi" w:hAnsiTheme="minorHAnsi" w:cstheme="minorHAnsi"/>
                </w:rPr>
                <w:t>Agent Step by Step Guide</w:t>
              </w:r>
            </w:hyperlink>
          </w:p>
          <w:p w:rsidR="00666183" w:rsidRPr="000E7FBA" w:rsidRDefault="00A21CD0" w:rsidP="00666183">
            <w:pPr>
              <w:rPr>
                <w:rFonts w:asciiTheme="minorHAnsi" w:hAnsiTheme="minorHAnsi" w:cstheme="minorHAnsi"/>
              </w:rPr>
            </w:pPr>
            <w:hyperlink r:id="rId17" w:history="1">
              <w:r w:rsidR="00666183" w:rsidRPr="000E7FBA">
                <w:rPr>
                  <w:rStyle w:val="Hyperlink"/>
                  <w:rFonts w:asciiTheme="minorHAnsi" w:hAnsiTheme="minorHAnsi" w:cstheme="minorHAnsi"/>
                </w:rPr>
                <w:t>Business Step by Step Guide</w:t>
              </w:r>
            </w:hyperlink>
          </w:p>
          <w:p w:rsidR="00666183" w:rsidRDefault="00666183" w:rsidP="00666183"/>
          <w:p w:rsidR="00666183" w:rsidRPr="009D64F4" w:rsidRDefault="00666183" w:rsidP="00666183">
            <w:pPr>
              <w:pStyle w:val="ListParagraph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  <w:sz w:val="24"/>
                <w:u w:val="single"/>
              </w:rPr>
            </w:pPr>
            <w:r w:rsidRPr="009D64F4">
              <w:rPr>
                <w:rFonts w:asciiTheme="minorHAnsi" w:hAnsiTheme="minorHAnsi" w:cstheme="minorHAnsi"/>
                <w:b/>
                <w:sz w:val="24"/>
                <w:u w:val="single"/>
              </w:rPr>
              <w:t>Getting help with sign up to ASA and MTD</w:t>
            </w:r>
          </w:p>
          <w:p w:rsidR="0051052E" w:rsidRPr="0051052E" w:rsidRDefault="00666183" w:rsidP="0051052E">
            <w:pPr>
              <w:spacing w:after="120"/>
              <w:rPr>
                <w:rFonts w:asciiTheme="minorHAnsi" w:hAnsiTheme="minorHAnsi" w:cstheme="minorHAnsi"/>
                <w:color w:val="FF0000"/>
                <w:szCs w:val="22"/>
              </w:rPr>
            </w:pPr>
            <w:r w:rsidRPr="009C1021">
              <w:rPr>
                <w:rFonts w:asciiTheme="minorHAnsi" w:hAnsiTheme="minorHAnsi" w:cstheme="minorHAnsi"/>
                <w:szCs w:val="22"/>
              </w:rPr>
              <w:t xml:space="preserve">If you have any issues creating a new ASA, linking clients or signing clients up to MTD you should select the link </w:t>
            </w:r>
            <w:r w:rsidRPr="0051052E">
              <w:rPr>
                <w:rFonts w:asciiTheme="minorHAnsi" w:hAnsiTheme="minorHAnsi" w:cstheme="minorHAnsi"/>
                <w:b/>
                <w:szCs w:val="22"/>
                <w:u w:val="single"/>
              </w:rPr>
              <w:t>‘Get help with this page’</w:t>
            </w:r>
            <w:r w:rsidRPr="009C1021">
              <w:rPr>
                <w:rFonts w:asciiTheme="minorHAnsi" w:hAnsiTheme="minorHAnsi" w:cstheme="minorHAnsi"/>
                <w:szCs w:val="22"/>
              </w:rPr>
              <w:t xml:space="preserve"> on the GOV.UK page you are on.  This will raise a query with our IT Service Desk who will investigate and respond accordingly.</w:t>
            </w:r>
            <w:r w:rsidRPr="009C1021">
              <w:rPr>
                <w:rFonts w:asciiTheme="minorHAnsi" w:hAnsiTheme="minorHAnsi" w:cstheme="minorHAnsi"/>
                <w:color w:val="FF0000"/>
                <w:szCs w:val="22"/>
              </w:rPr>
              <w:t xml:space="preserve"> </w:t>
            </w:r>
          </w:p>
          <w:p w:rsidR="00880ECA" w:rsidRDefault="00880ECA" w:rsidP="00880ECA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u w:val="single"/>
              </w:rPr>
            </w:pPr>
            <w:r w:rsidRPr="00880ECA">
              <w:rPr>
                <w:b/>
                <w:sz w:val="24"/>
                <w:u w:val="single"/>
              </w:rPr>
              <w:t>Agent Forum</w:t>
            </w:r>
          </w:p>
          <w:p w:rsidR="000D09A4" w:rsidRDefault="00880ECA" w:rsidP="00880ECA">
            <w:pPr>
              <w:rPr>
                <w:rFonts w:asciiTheme="minorHAnsi" w:hAnsiTheme="minorHAnsi" w:cstheme="minorHAnsi"/>
              </w:rPr>
            </w:pPr>
            <w:r w:rsidRPr="00880ECA">
              <w:rPr>
                <w:rFonts w:asciiTheme="minorHAnsi" w:hAnsiTheme="minorHAnsi" w:cstheme="minorHAnsi"/>
              </w:rPr>
              <w:t xml:space="preserve">There are lots of interesting topics, threads and questions (and answers) on Making Tax Digital </w:t>
            </w:r>
            <w:r w:rsidR="000D09A4">
              <w:rPr>
                <w:rFonts w:asciiTheme="minorHAnsi" w:hAnsiTheme="minorHAnsi" w:cstheme="minorHAnsi"/>
              </w:rPr>
              <w:t>section of Agents Forum on</w:t>
            </w:r>
            <w:r w:rsidRPr="00880ECA">
              <w:rPr>
                <w:rFonts w:asciiTheme="minorHAnsi" w:hAnsiTheme="minorHAnsi" w:cstheme="minorHAnsi"/>
              </w:rPr>
              <w:t xml:space="preserve"> GOV.UK. </w:t>
            </w:r>
            <w:r w:rsidR="000D09A4">
              <w:rPr>
                <w:rFonts w:asciiTheme="minorHAnsi" w:hAnsiTheme="minorHAnsi" w:cstheme="minorHAnsi"/>
              </w:rPr>
              <w:t xml:space="preserve">Are you signed up? </w:t>
            </w:r>
          </w:p>
          <w:p w:rsidR="000D09A4" w:rsidRDefault="000D09A4" w:rsidP="00880ECA">
            <w:pPr>
              <w:rPr>
                <w:rFonts w:asciiTheme="minorHAnsi" w:hAnsiTheme="minorHAnsi" w:cstheme="minorHAnsi"/>
              </w:rPr>
            </w:pPr>
          </w:p>
          <w:p w:rsidR="00880ECA" w:rsidRPr="00880ECA" w:rsidRDefault="00A21CD0" w:rsidP="00880ECA">
            <w:pPr>
              <w:rPr>
                <w:rFonts w:asciiTheme="minorHAnsi" w:hAnsiTheme="minorHAnsi" w:cstheme="minorHAnsi"/>
              </w:rPr>
            </w:pPr>
            <w:hyperlink r:id="rId18" w:history="1">
              <w:r w:rsidR="00880ECA" w:rsidRPr="00880ECA">
                <w:rPr>
                  <w:rStyle w:val="Hyperlink"/>
                  <w:rFonts w:asciiTheme="minorHAnsi" w:hAnsiTheme="minorHAnsi" w:cstheme="minorHAnsi"/>
                </w:rPr>
                <w:t>https://online.hmrc.gov.uk/webchatprod/community/forums/show/131.page</w:t>
              </w:r>
            </w:hyperlink>
            <w:r w:rsidR="00880ECA">
              <w:rPr>
                <w:rFonts w:asciiTheme="minorHAnsi" w:hAnsiTheme="minorHAnsi" w:cstheme="minorHAnsi"/>
              </w:rPr>
              <w:t xml:space="preserve"> </w:t>
            </w:r>
          </w:p>
          <w:p w:rsidR="00880ECA" w:rsidRDefault="00880ECA" w:rsidP="00174DAA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:rsidR="00174DAA" w:rsidRDefault="00174DAA" w:rsidP="00174DA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 w:rsidRPr="00A07155">
              <w:rPr>
                <w:rFonts w:asciiTheme="minorHAnsi" w:hAnsiTheme="minorHAnsi" w:cstheme="minorHAnsi"/>
                <w:b/>
                <w:sz w:val="24"/>
                <w:u w:val="single"/>
              </w:rPr>
              <w:t>VAT Notice 700/22</w:t>
            </w:r>
          </w:p>
          <w:p w:rsidR="00174DAA" w:rsidRDefault="00174DAA" w:rsidP="00880ECA">
            <w:pPr>
              <w:shd w:val="clear" w:color="auto" w:fill="FFFFFF" w:themeFill="background1"/>
              <w:rPr>
                <w:rFonts w:asciiTheme="minorHAnsi" w:hAnsiTheme="minorHAnsi" w:cstheme="minorHAnsi"/>
                <w:lang w:val="en"/>
              </w:rPr>
            </w:pPr>
            <w:r w:rsidRPr="00880ECA">
              <w:rPr>
                <w:rFonts w:asciiTheme="minorHAnsi" w:hAnsiTheme="minorHAnsi" w:cstheme="minorHAnsi"/>
              </w:rPr>
              <w:lastRenderedPageBreak/>
              <w:t xml:space="preserve">This is the main guidance relating to Making Tax Digital for VAT was </w:t>
            </w:r>
            <w:r w:rsidR="0051052E">
              <w:rPr>
                <w:rFonts w:asciiTheme="minorHAnsi" w:hAnsiTheme="minorHAnsi" w:cstheme="minorHAnsi"/>
              </w:rPr>
              <w:t xml:space="preserve">last </w:t>
            </w:r>
            <w:r w:rsidRPr="00880ECA">
              <w:rPr>
                <w:rFonts w:asciiTheme="minorHAnsi" w:hAnsiTheme="minorHAnsi" w:cstheme="minorHAnsi"/>
              </w:rPr>
              <w:t>updated on 5 March 2019</w:t>
            </w:r>
            <w:r w:rsidRPr="00880ECA">
              <w:rPr>
                <w:lang w:val="en"/>
              </w:rPr>
              <w:t xml:space="preserve"> </w:t>
            </w:r>
            <w:r w:rsidR="0051052E">
              <w:rPr>
                <w:rFonts w:asciiTheme="minorHAnsi" w:hAnsiTheme="minorHAnsi" w:cstheme="minorHAnsi"/>
                <w:lang w:val="en"/>
              </w:rPr>
              <w:t>with guidance on who may be</w:t>
            </w:r>
            <w:r w:rsidRPr="00880ECA">
              <w:rPr>
                <w:rFonts w:asciiTheme="minorHAnsi" w:hAnsiTheme="minorHAnsi" w:cstheme="minorHAnsi"/>
                <w:lang w:val="en"/>
              </w:rPr>
              <w:t xml:space="preserve"> exempt from following the rules for Making Tax Digital for VAT, and outlined the application process.</w:t>
            </w:r>
          </w:p>
          <w:p w:rsidR="00174DAA" w:rsidRPr="00880ECA" w:rsidRDefault="00174DAA" w:rsidP="00880ECA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:rsidR="00174DAA" w:rsidRPr="00880ECA" w:rsidRDefault="00A21CD0" w:rsidP="00880ECA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hyperlink r:id="rId19" w:history="1">
              <w:r w:rsidR="00174DAA" w:rsidRPr="00880ECA">
                <w:rPr>
                  <w:rStyle w:val="Hyperlink"/>
                  <w:rFonts w:asciiTheme="minorHAnsi" w:hAnsiTheme="minorHAnsi" w:cstheme="minorHAnsi"/>
                </w:rPr>
                <w:t>https://www.gov.uk/government/publications/vat-notice-70022-making-tax-digital-for-vat/vat-notice-70022-making-tax-digital-for-vat</w:t>
              </w:r>
            </w:hyperlink>
            <w:r w:rsidR="00174DAA" w:rsidRPr="00880ECA">
              <w:rPr>
                <w:rFonts w:asciiTheme="minorHAnsi" w:hAnsiTheme="minorHAnsi" w:cstheme="minorHAnsi"/>
              </w:rPr>
              <w:t xml:space="preserve"> </w:t>
            </w:r>
          </w:p>
          <w:p w:rsidR="00174DAA" w:rsidRPr="00880ECA" w:rsidRDefault="00174DAA" w:rsidP="00880ECA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</w:p>
          <w:p w:rsidR="00174DAA" w:rsidRDefault="000D09A4" w:rsidP="00880ECA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rPr>
                <w:rFonts w:asciiTheme="minorHAnsi" w:hAnsiTheme="minorHAnsi" w:cstheme="minorHAnsi"/>
                <w:b/>
                <w:sz w:val="24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4"/>
                <w:u w:val="single"/>
              </w:rPr>
              <w:t>Software choices</w:t>
            </w:r>
          </w:p>
          <w:p w:rsidR="00BB32CA" w:rsidRDefault="00BB32CA" w:rsidP="00BB32CA">
            <w:pPr>
              <w:pStyle w:val="ListParagraph"/>
              <w:shd w:val="clear" w:color="auto" w:fill="FFFFFF" w:themeFill="background1"/>
              <w:rPr>
                <w:rFonts w:asciiTheme="minorHAnsi" w:hAnsiTheme="minorHAnsi" w:cstheme="minorHAnsi"/>
                <w:b/>
                <w:sz w:val="24"/>
                <w:u w:val="single"/>
              </w:rPr>
            </w:pPr>
          </w:p>
          <w:p w:rsidR="000D09A4" w:rsidRDefault="000D09A4" w:rsidP="0051052E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</w:rPr>
              <w:t xml:space="preserve">Businesses and agents need to choose the software that is suitable for them.  HMRC does not endorse or recommend any one product of software provider however a </w:t>
            </w:r>
            <w:r w:rsidR="00174DAA" w:rsidRPr="00880ECA">
              <w:rPr>
                <w:rFonts w:asciiTheme="minorHAnsi" w:hAnsiTheme="minorHAnsi" w:cstheme="minorHAnsi"/>
                <w:szCs w:val="22"/>
                <w:lang w:eastAsia="en-US"/>
              </w:rPr>
              <w:t>so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>ftware choices selection tool is available on</w:t>
            </w:r>
            <w:r w:rsidR="00174DAA" w:rsidRPr="00880ECA">
              <w:rPr>
                <w:rFonts w:asciiTheme="minorHAnsi" w:hAnsiTheme="minorHAnsi" w:cstheme="minorHAnsi"/>
                <w:szCs w:val="22"/>
                <w:lang w:eastAsia="en-US"/>
              </w:rPr>
              <w:t xml:space="preserve"> GOV.UK</w:t>
            </w:r>
            <w:r>
              <w:rPr>
                <w:rFonts w:asciiTheme="minorHAnsi" w:hAnsiTheme="minorHAnsi" w:cstheme="minorHAnsi"/>
                <w:szCs w:val="22"/>
                <w:lang w:eastAsia="en-US"/>
              </w:rPr>
              <w:t>.</w:t>
            </w:r>
          </w:p>
          <w:p w:rsidR="000D09A4" w:rsidRDefault="000D09A4" w:rsidP="0051052E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</w:p>
          <w:p w:rsidR="00F83C91" w:rsidRPr="000D09A4" w:rsidRDefault="00A21CD0" w:rsidP="0051052E">
            <w:pPr>
              <w:shd w:val="clear" w:color="auto" w:fill="FFFFFF" w:themeFill="background1"/>
              <w:rPr>
                <w:rFonts w:asciiTheme="minorHAnsi" w:hAnsiTheme="minorHAnsi" w:cstheme="minorHAnsi"/>
              </w:rPr>
            </w:pPr>
            <w:hyperlink r:id="rId20" w:history="1">
              <w:r w:rsidR="00174DAA" w:rsidRPr="00880ECA">
                <w:rPr>
                  <w:rStyle w:val="Hyperlink"/>
                  <w:rFonts w:asciiTheme="minorHAnsi" w:hAnsiTheme="minorHAnsi" w:cstheme="minorHAnsi"/>
                  <w:szCs w:val="22"/>
                  <w:lang w:eastAsia="en-US"/>
                </w:rPr>
                <w:t>https://www.tax.service.gov.uk/making-tax-digital-software</w:t>
              </w:r>
            </w:hyperlink>
            <w:r w:rsidR="00174DAA" w:rsidRPr="00880ECA">
              <w:rPr>
                <w:rFonts w:asciiTheme="minorHAnsi" w:hAnsiTheme="minorHAnsi" w:cstheme="minorHAnsi"/>
                <w:szCs w:val="22"/>
                <w:lang w:eastAsia="en-US"/>
              </w:rPr>
              <w:t xml:space="preserve"> </w:t>
            </w:r>
          </w:p>
          <w:p w:rsidR="0051052E" w:rsidRPr="0051052E" w:rsidRDefault="0051052E" w:rsidP="0051052E">
            <w:pPr>
              <w:shd w:val="clear" w:color="auto" w:fill="FFFFFF" w:themeFill="background1"/>
              <w:rPr>
                <w:rFonts w:asciiTheme="minorHAnsi" w:hAnsiTheme="minorHAnsi" w:cstheme="minorHAnsi"/>
                <w:szCs w:val="22"/>
                <w:lang w:eastAsia="en-US"/>
              </w:rPr>
            </w:pPr>
          </w:p>
        </w:tc>
      </w:tr>
    </w:tbl>
    <w:tbl>
      <w:tblPr>
        <w:tblW w:w="9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="00C0405F" w:rsidRPr="003F7040" w:rsidTr="004F302F">
        <w:trPr>
          <w:trHeight w:val="134"/>
        </w:trPr>
        <w:tc>
          <w:tcPr>
            <w:tcW w:w="90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05F" w:rsidRPr="003F7040" w:rsidRDefault="00C0405F" w:rsidP="004F30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3F7040">
              <w:rPr>
                <w:rFonts w:asciiTheme="minorHAnsi" w:hAnsiTheme="minorHAnsi" w:cstheme="minorHAnsi"/>
                <w:b/>
                <w:bCs/>
                <w:noProof/>
                <w:color w:val="000000"/>
                <w:sz w:val="22"/>
                <w:szCs w:val="22"/>
                <w:highlight w:val="yellow"/>
              </w:rPr>
              <w:lastRenderedPageBreak/>
              <w:drawing>
                <wp:inline distT="0" distB="0" distL="0" distR="0" wp14:anchorId="3FE4DA85" wp14:editId="499FE8FF">
                  <wp:extent cx="3810000" cy="99234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potlight-300x199[1]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962" cy="1001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405F" w:rsidRPr="003F7040" w:rsidRDefault="00C0405F" w:rsidP="004F30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highlight w:val="yellow"/>
              </w:rPr>
            </w:pPr>
          </w:p>
          <w:p w:rsidR="00C0405F" w:rsidRPr="003F7040" w:rsidRDefault="003602C2" w:rsidP="00B50CE3">
            <w:pPr>
              <w:rPr>
                <w:rFonts w:asciiTheme="minorHAnsi" w:hAnsiTheme="minorHAnsi" w:cstheme="minorHAnsi"/>
                <w:b/>
                <w:bCs/>
                <w:color w:val="000000"/>
                <w:highlight w:val="yellow"/>
              </w:rPr>
            </w:pPr>
            <w:bookmarkStart w:id="4" w:name="Spotlight"/>
            <w:r w:rsidRPr="00BE0BE7"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  <w:t xml:space="preserve">Spotlight On…….. </w:t>
            </w:r>
            <w:bookmarkEnd w:id="4"/>
            <w:r w:rsidRPr="00BE0BE7"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  <w:t>Agent</w:t>
            </w:r>
            <w:r w:rsidR="00B50CE3">
              <w:rPr>
                <w:rFonts w:asciiTheme="minorHAnsi" w:hAnsiTheme="minorHAnsi" w:cstheme="minorHAnsi"/>
                <w:b/>
                <w:bCs/>
                <w:color w:val="000000"/>
                <w:sz w:val="28"/>
              </w:rPr>
              <w:t>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405F" w:rsidRPr="003F7040" w:rsidTr="00880ECA">
        <w:tc>
          <w:tcPr>
            <w:tcW w:w="9016" w:type="dxa"/>
            <w:shd w:val="clear" w:color="auto" w:fill="auto"/>
          </w:tcPr>
          <w:p w:rsidR="00894A0C" w:rsidRPr="00880ECA" w:rsidRDefault="00894A0C" w:rsidP="00880ECA">
            <w:pPr>
              <w:shd w:val="clear" w:color="auto" w:fill="FFFFFF" w:themeFill="background1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"/>
              </w:rPr>
            </w:pPr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It is widely </w:t>
            </w:r>
            <w:proofErr w:type="spellStart"/>
            <w:r w:rsidRPr="00880ECA">
              <w:rPr>
                <w:rFonts w:asciiTheme="minorHAnsi" w:eastAsia="Times New Roman" w:hAnsiTheme="minorHAnsi" w:cstheme="minorHAnsi"/>
                <w:lang w:val="en"/>
              </w:rPr>
              <w:t>recognised</w:t>
            </w:r>
            <w:proofErr w:type="spellEnd"/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 and appreciated that Agents play a key role in UK tax collection, and in Making Tax Digital in particular. </w:t>
            </w:r>
          </w:p>
          <w:p w:rsidR="00894A0C" w:rsidRPr="00880ECA" w:rsidRDefault="00174DAA" w:rsidP="00880ECA">
            <w:pPr>
              <w:shd w:val="clear" w:color="auto" w:fill="FFFFFF" w:themeFill="background1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"/>
              </w:rPr>
            </w:pPr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Agents submit VAT returns on behalf of </w:t>
            </w:r>
            <w:r w:rsidR="00880ECA" w:rsidRPr="00880ECA">
              <w:rPr>
                <w:rFonts w:asciiTheme="minorHAnsi" w:eastAsia="Times New Roman" w:hAnsiTheme="minorHAnsi" w:cstheme="minorHAnsi"/>
                <w:lang w:val="en"/>
              </w:rPr>
              <w:t xml:space="preserve">many </w:t>
            </w:r>
            <w:r w:rsidRPr="00880ECA">
              <w:rPr>
                <w:rFonts w:asciiTheme="minorHAnsi" w:eastAsia="Times New Roman" w:hAnsiTheme="minorHAnsi" w:cstheme="minorHAnsi"/>
                <w:lang w:val="en"/>
              </w:rPr>
              <w:t>clients, and so are well placed to advise clients and ensure that they are informed about Making Tax Digital and meet their obligations.</w:t>
            </w:r>
          </w:p>
          <w:p w:rsidR="00174DAA" w:rsidRPr="00880ECA" w:rsidRDefault="00174DAA" w:rsidP="00880ECA">
            <w:pPr>
              <w:shd w:val="clear" w:color="auto" w:fill="FFFFFF" w:themeFill="background1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"/>
              </w:rPr>
            </w:pPr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Agents </w:t>
            </w:r>
            <w:r w:rsidR="00B50CE3" w:rsidRPr="00880ECA">
              <w:rPr>
                <w:rFonts w:asciiTheme="minorHAnsi" w:eastAsia="Times New Roman" w:hAnsiTheme="minorHAnsi" w:cstheme="minorHAnsi"/>
                <w:lang w:val="en"/>
              </w:rPr>
              <w:t xml:space="preserve">may </w:t>
            </w:r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be </w:t>
            </w:r>
            <w:proofErr w:type="spellStart"/>
            <w:r w:rsidR="00B50CE3" w:rsidRPr="00880ECA">
              <w:rPr>
                <w:rFonts w:asciiTheme="minorHAnsi" w:eastAsia="Times New Roman" w:hAnsiTheme="minorHAnsi" w:cstheme="minorHAnsi"/>
                <w:lang w:val="en"/>
              </w:rPr>
              <w:t>authorise</w:t>
            </w:r>
            <w:r w:rsidRPr="00880ECA">
              <w:rPr>
                <w:rFonts w:asciiTheme="minorHAnsi" w:eastAsia="Times New Roman" w:hAnsiTheme="minorHAnsi" w:cstheme="minorHAnsi"/>
                <w:lang w:val="en"/>
              </w:rPr>
              <w:t>d</w:t>
            </w:r>
            <w:proofErr w:type="spellEnd"/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 by clients to receive data from (and send data to) </w:t>
            </w:r>
            <w:r w:rsidR="00B50CE3" w:rsidRPr="00880ECA">
              <w:rPr>
                <w:rFonts w:asciiTheme="minorHAnsi" w:eastAsia="Times New Roman" w:hAnsiTheme="minorHAnsi" w:cstheme="minorHAnsi"/>
                <w:lang w:val="en"/>
              </w:rPr>
              <w:t xml:space="preserve">HMRC in relation to any Making Tax Digital service. Once </w:t>
            </w:r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authority has been given </w:t>
            </w:r>
            <w:r w:rsidR="00B50CE3" w:rsidRPr="00880ECA">
              <w:rPr>
                <w:rFonts w:asciiTheme="minorHAnsi" w:eastAsia="Times New Roman" w:hAnsiTheme="minorHAnsi" w:cstheme="minorHAnsi"/>
                <w:lang w:val="en"/>
              </w:rPr>
              <w:t xml:space="preserve">that agent can sign up </w:t>
            </w:r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the client </w:t>
            </w:r>
            <w:r w:rsidR="00B50CE3" w:rsidRPr="00880ECA">
              <w:rPr>
                <w:rFonts w:asciiTheme="minorHAnsi" w:eastAsia="Times New Roman" w:hAnsiTheme="minorHAnsi" w:cstheme="minorHAnsi"/>
                <w:lang w:val="en"/>
              </w:rPr>
              <w:t xml:space="preserve">to that service, and use software to create, view, edit and send </w:t>
            </w:r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client </w:t>
            </w:r>
            <w:r w:rsidR="00B50CE3" w:rsidRPr="00880ECA">
              <w:rPr>
                <w:rFonts w:asciiTheme="minorHAnsi" w:eastAsia="Times New Roman" w:hAnsiTheme="minorHAnsi" w:cstheme="minorHAnsi"/>
                <w:lang w:val="en"/>
              </w:rPr>
              <w:t xml:space="preserve">data to HMRC. </w:t>
            </w:r>
            <w:r w:rsidRPr="00880ECA">
              <w:rPr>
                <w:rFonts w:asciiTheme="minorHAnsi" w:eastAsia="Times New Roman" w:hAnsiTheme="minorHAnsi" w:cstheme="minorHAnsi"/>
                <w:lang w:val="en"/>
              </w:rPr>
              <w:t>A</w:t>
            </w:r>
            <w:r w:rsidR="00B50CE3" w:rsidRPr="00880ECA">
              <w:rPr>
                <w:rFonts w:asciiTheme="minorHAnsi" w:eastAsia="Times New Roman" w:hAnsiTheme="minorHAnsi" w:cstheme="minorHAnsi"/>
                <w:lang w:val="en"/>
              </w:rPr>
              <w:t>gent</w:t>
            </w:r>
            <w:r w:rsidRPr="00880ECA">
              <w:rPr>
                <w:rFonts w:asciiTheme="minorHAnsi" w:eastAsia="Times New Roman" w:hAnsiTheme="minorHAnsi" w:cstheme="minorHAnsi"/>
                <w:lang w:val="en"/>
              </w:rPr>
              <w:t>s</w:t>
            </w:r>
            <w:r w:rsidR="00B50CE3" w:rsidRPr="00880ECA">
              <w:rPr>
                <w:rFonts w:asciiTheme="minorHAnsi" w:eastAsia="Times New Roman" w:hAnsiTheme="minorHAnsi" w:cstheme="minorHAnsi"/>
                <w:lang w:val="en"/>
              </w:rPr>
              <w:t xml:space="preserve"> may also keep and maintain digital records on </w:t>
            </w:r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a client’s </w:t>
            </w:r>
            <w:r w:rsidR="00B50CE3" w:rsidRPr="00880ECA">
              <w:rPr>
                <w:rFonts w:asciiTheme="minorHAnsi" w:eastAsia="Times New Roman" w:hAnsiTheme="minorHAnsi" w:cstheme="minorHAnsi"/>
                <w:lang w:val="en"/>
              </w:rPr>
              <w:t xml:space="preserve">behalf. </w:t>
            </w:r>
          </w:p>
          <w:p w:rsidR="00B50CE3" w:rsidRPr="00880ECA" w:rsidRDefault="00B50CE3" w:rsidP="00880ECA">
            <w:pPr>
              <w:shd w:val="clear" w:color="auto" w:fill="FFFFFF" w:themeFill="background1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"/>
              </w:rPr>
            </w:pPr>
            <w:r w:rsidRPr="00880ECA">
              <w:rPr>
                <w:rFonts w:asciiTheme="minorHAnsi" w:eastAsia="Times New Roman" w:hAnsiTheme="minorHAnsi" w:cstheme="minorHAnsi"/>
                <w:lang w:val="en"/>
              </w:rPr>
              <w:t>If</w:t>
            </w:r>
            <w:r w:rsidR="00880ECA" w:rsidRPr="00880ECA">
              <w:rPr>
                <w:rFonts w:asciiTheme="minorHAnsi" w:eastAsia="Times New Roman" w:hAnsiTheme="minorHAnsi" w:cstheme="minorHAnsi"/>
                <w:lang w:val="en"/>
              </w:rPr>
              <w:t xml:space="preserve"> a business has</w:t>
            </w:r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 previously </w:t>
            </w:r>
            <w:proofErr w:type="spellStart"/>
            <w:r w:rsidRPr="00880ECA">
              <w:rPr>
                <w:rFonts w:asciiTheme="minorHAnsi" w:eastAsia="Times New Roman" w:hAnsiTheme="minorHAnsi" w:cstheme="minorHAnsi"/>
                <w:lang w:val="en"/>
              </w:rPr>
              <w:t>authorised</w:t>
            </w:r>
            <w:proofErr w:type="spellEnd"/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 HMRC to receive</w:t>
            </w:r>
            <w:r w:rsidR="00880ECA" w:rsidRPr="00880ECA">
              <w:rPr>
                <w:rFonts w:asciiTheme="minorHAnsi" w:eastAsia="Times New Roman" w:hAnsiTheme="minorHAnsi" w:cstheme="minorHAnsi"/>
                <w:lang w:val="en"/>
              </w:rPr>
              <w:t xml:space="preserve"> their</w:t>
            </w:r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 VAT Return from an agent they can still do this. Agents will not need to be re-</w:t>
            </w:r>
            <w:proofErr w:type="spellStart"/>
            <w:r w:rsidRPr="00880ECA">
              <w:rPr>
                <w:rFonts w:asciiTheme="minorHAnsi" w:eastAsia="Times New Roman" w:hAnsiTheme="minorHAnsi" w:cstheme="minorHAnsi"/>
                <w:lang w:val="en"/>
              </w:rPr>
              <w:t>authorised</w:t>
            </w:r>
            <w:proofErr w:type="spellEnd"/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 by their clients to act for them in the Making Tax Digital VAT service where they already have existing </w:t>
            </w:r>
            <w:proofErr w:type="spellStart"/>
            <w:r w:rsidRPr="00880ECA">
              <w:rPr>
                <w:rFonts w:asciiTheme="minorHAnsi" w:eastAsia="Times New Roman" w:hAnsiTheme="minorHAnsi" w:cstheme="minorHAnsi"/>
                <w:lang w:val="en"/>
              </w:rPr>
              <w:t>authorisation</w:t>
            </w:r>
            <w:proofErr w:type="spellEnd"/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 to act for VAT purposes.</w:t>
            </w:r>
          </w:p>
          <w:p w:rsidR="00B50CE3" w:rsidRPr="00880ECA" w:rsidRDefault="00B50CE3" w:rsidP="00B50CE3">
            <w:p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"/>
              </w:rPr>
            </w:pPr>
            <w:r w:rsidRPr="00880ECA">
              <w:rPr>
                <w:rFonts w:asciiTheme="minorHAnsi" w:eastAsia="Times New Roman" w:hAnsiTheme="minorHAnsi" w:cstheme="minorHAnsi"/>
                <w:lang w:val="en"/>
              </w:rPr>
              <w:t>Agents will need to sign up to a new agent services account to use Making Tax Digital services on behalf of their clients. The agent must have software of their own or have access</w:t>
            </w:r>
            <w:r w:rsidR="00174DAA" w:rsidRPr="00880ECA">
              <w:rPr>
                <w:rFonts w:asciiTheme="minorHAnsi" w:eastAsia="Times New Roman" w:hAnsiTheme="minorHAnsi" w:cstheme="minorHAnsi"/>
                <w:lang w:val="en"/>
              </w:rPr>
              <w:t xml:space="preserve"> to the software that holds clients’</w:t>
            </w:r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 digital records.</w:t>
            </w:r>
          </w:p>
          <w:p w:rsidR="00B50CE3" w:rsidRPr="00880ECA" w:rsidRDefault="00B50CE3" w:rsidP="00880ECA">
            <w:pPr>
              <w:shd w:val="clear" w:color="auto" w:fill="FFFFFF" w:themeFill="background1"/>
              <w:spacing w:before="100" w:beforeAutospacing="1" w:after="100" w:afterAutospacing="1"/>
              <w:rPr>
                <w:rFonts w:asciiTheme="minorHAnsi" w:eastAsia="Times New Roman" w:hAnsiTheme="minorHAnsi" w:cstheme="minorHAnsi"/>
                <w:lang w:val="en"/>
              </w:rPr>
            </w:pPr>
            <w:r w:rsidRPr="00880ECA">
              <w:rPr>
                <w:rFonts w:asciiTheme="minorHAnsi" w:eastAsia="Times New Roman" w:hAnsiTheme="minorHAnsi" w:cstheme="minorHAnsi"/>
                <w:lang w:val="en"/>
              </w:rPr>
              <w:t>Agents will not necessarily have access to all</w:t>
            </w:r>
            <w:r w:rsidR="00174DAA" w:rsidRPr="00880ECA">
              <w:rPr>
                <w:rFonts w:asciiTheme="minorHAnsi" w:eastAsia="Times New Roman" w:hAnsiTheme="minorHAnsi" w:cstheme="minorHAnsi"/>
                <w:lang w:val="en"/>
              </w:rPr>
              <w:t xml:space="preserve"> client</w:t>
            </w:r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 source data so, for example, they may not always be </w:t>
            </w:r>
            <w:r w:rsidR="00174DAA" w:rsidRPr="00880ECA">
              <w:rPr>
                <w:rFonts w:asciiTheme="minorHAnsi" w:eastAsia="Times New Roman" w:hAnsiTheme="minorHAnsi" w:cstheme="minorHAnsi"/>
                <w:lang w:val="en"/>
              </w:rPr>
              <w:t>able to make corrections to those</w:t>
            </w:r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 digital records. In these circumstances agent</w:t>
            </w:r>
            <w:r w:rsidR="00174DAA" w:rsidRPr="00880ECA">
              <w:rPr>
                <w:rFonts w:asciiTheme="minorHAnsi" w:eastAsia="Times New Roman" w:hAnsiTheme="minorHAnsi" w:cstheme="minorHAnsi"/>
                <w:lang w:val="en"/>
              </w:rPr>
              <w:t>s will need to advise clients</w:t>
            </w:r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 of any corrections required to those digital records.</w:t>
            </w:r>
          </w:p>
          <w:p w:rsidR="00CE0AF0" w:rsidRDefault="00B50CE3" w:rsidP="00D85D54">
            <w:pPr>
              <w:shd w:val="clear" w:color="auto" w:fill="FFFFFF" w:themeFill="background1"/>
              <w:spacing w:before="100" w:beforeAutospacing="1" w:after="100" w:afterAutospacing="1"/>
              <w:ind w:left="29"/>
              <w:rPr>
                <w:rFonts w:asciiTheme="minorHAnsi" w:eastAsia="Times New Roman" w:hAnsiTheme="minorHAnsi" w:cstheme="minorHAnsi"/>
                <w:lang w:val="en"/>
              </w:rPr>
            </w:pPr>
            <w:r w:rsidRPr="00880ECA">
              <w:rPr>
                <w:rFonts w:asciiTheme="minorHAnsi" w:eastAsia="Times New Roman" w:hAnsiTheme="minorHAnsi" w:cstheme="minorHAnsi"/>
                <w:lang w:val="en"/>
              </w:rPr>
              <w:lastRenderedPageBreak/>
              <w:t>HMRC will provide access to taxpayer information we hold, and the nece</w:t>
            </w:r>
            <w:r w:rsidR="00CE0AF0">
              <w:rPr>
                <w:rFonts w:asciiTheme="minorHAnsi" w:eastAsia="Times New Roman" w:hAnsiTheme="minorHAnsi" w:cstheme="minorHAnsi"/>
                <w:lang w:val="en"/>
              </w:rPr>
              <w:t xml:space="preserve">ssary services, </w:t>
            </w:r>
            <w:r w:rsidRPr="00880ECA">
              <w:rPr>
                <w:rFonts w:asciiTheme="minorHAnsi" w:eastAsia="Times New Roman" w:hAnsiTheme="minorHAnsi" w:cstheme="minorHAnsi"/>
                <w:u w:val="single"/>
                <w:lang w:val="en"/>
              </w:rPr>
              <w:t>only</w:t>
            </w:r>
            <w:r w:rsidRPr="00880ECA">
              <w:rPr>
                <w:rFonts w:asciiTheme="minorHAnsi" w:eastAsia="Times New Roman" w:hAnsiTheme="minorHAnsi" w:cstheme="minorHAnsi"/>
                <w:lang w:val="en"/>
              </w:rPr>
              <w:t xml:space="preserve"> to those agents who</w:t>
            </w:r>
            <w:r w:rsidR="00880ECA" w:rsidRPr="00880ECA">
              <w:rPr>
                <w:rFonts w:asciiTheme="minorHAnsi" w:eastAsia="Times New Roman" w:hAnsiTheme="minorHAnsi" w:cstheme="minorHAnsi"/>
                <w:lang w:val="en"/>
              </w:rPr>
              <w:t xml:space="preserve"> have been properly </w:t>
            </w:r>
            <w:proofErr w:type="spellStart"/>
            <w:r w:rsidR="00880ECA" w:rsidRPr="00880ECA">
              <w:rPr>
                <w:rFonts w:asciiTheme="minorHAnsi" w:eastAsia="Times New Roman" w:hAnsiTheme="minorHAnsi" w:cstheme="minorHAnsi"/>
                <w:lang w:val="en"/>
              </w:rPr>
              <w:t>authorised</w:t>
            </w:r>
            <w:proofErr w:type="spellEnd"/>
            <w:r w:rsidR="00880ECA" w:rsidRPr="00880ECA">
              <w:rPr>
                <w:rFonts w:asciiTheme="minorHAnsi" w:eastAsia="Times New Roman" w:hAnsiTheme="minorHAnsi" w:cstheme="minorHAnsi"/>
                <w:lang w:val="en"/>
              </w:rPr>
              <w:t>.</w:t>
            </w:r>
          </w:p>
          <w:p w:rsidR="00D85D54" w:rsidRPr="00880ECA" w:rsidRDefault="00D85D54" w:rsidP="00D85D54">
            <w:pPr>
              <w:shd w:val="clear" w:color="auto" w:fill="FFFFFF" w:themeFill="background1"/>
              <w:spacing w:before="100" w:beforeAutospacing="1" w:after="100" w:afterAutospacing="1"/>
              <w:ind w:left="596" w:hanging="567"/>
              <w:rPr>
                <w:rFonts w:asciiTheme="minorHAnsi" w:eastAsia="Times New Roman" w:hAnsiTheme="minorHAnsi" w:cstheme="minorHAnsi"/>
                <w:lang w:val="en"/>
              </w:rPr>
            </w:pPr>
          </w:p>
        </w:tc>
      </w:tr>
    </w:tbl>
    <w:tbl>
      <w:tblPr>
        <w:tblW w:w="9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="00C0405F" w:rsidRPr="007E44EB" w:rsidTr="004F302F">
        <w:trPr>
          <w:trHeight w:val="252"/>
        </w:trPr>
        <w:tc>
          <w:tcPr>
            <w:tcW w:w="90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405F" w:rsidRDefault="00C0405F" w:rsidP="004F30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5" w:name="Coming"/>
            <w:r w:rsidRPr="00BE0BE7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</w:rPr>
              <w:lastRenderedPageBreak/>
              <w:t>Coming soon</w:t>
            </w:r>
            <w:bookmarkEnd w:id="5"/>
          </w:p>
        </w:tc>
      </w:tr>
    </w:tbl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9016"/>
      </w:tblGrid>
      <w:tr w:rsidR="00C0405F" w:rsidTr="00880ECA">
        <w:tc>
          <w:tcPr>
            <w:tcW w:w="9016" w:type="dxa"/>
            <w:shd w:val="clear" w:color="auto" w:fill="auto"/>
          </w:tcPr>
          <w:p w:rsidR="00880ECA" w:rsidRDefault="00880ECA" w:rsidP="00200E9B">
            <w:pPr>
              <w:tabs>
                <w:tab w:val="left" w:pos="733"/>
              </w:tabs>
              <w:rPr>
                <w:rFonts w:asciiTheme="minorHAnsi" w:hAnsiTheme="minorHAnsi" w:cstheme="minorHAnsi"/>
              </w:rPr>
            </w:pPr>
          </w:p>
          <w:p w:rsidR="00200E9B" w:rsidRPr="00880ECA" w:rsidRDefault="00200E9B" w:rsidP="00200E9B">
            <w:pPr>
              <w:tabs>
                <w:tab w:val="left" w:pos="733"/>
              </w:tabs>
              <w:rPr>
                <w:rFonts w:asciiTheme="minorHAnsi" w:hAnsiTheme="minorHAnsi" w:cstheme="minorHAnsi"/>
              </w:rPr>
            </w:pPr>
            <w:r w:rsidRPr="00880ECA">
              <w:rPr>
                <w:rFonts w:asciiTheme="minorHAnsi" w:hAnsiTheme="minorHAnsi" w:cstheme="minorHAnsi"/>
              </w:rPr>
              <w:t>HMRC continue to deliver webinars on Making Tax Digital for both Agents and Businesses.</w:t>
            </w:r>
          </w:p>
          <w:p w:rsidR="00200E9B" w:rsidRPr="00880ECA" w:rsidRDefault="00200E9B" w:rsidP="00200E9B">
            <w:pPr>
              <w:tabs>
                <w:tab w:val="left" w:pos="733"/>
              </w:tabs>
              <w:rPr>
                <w:rFonts w:asciiTheme="minorHAnsi" w:hAnsiTheme="minorHAnsi" w:cstheme="minorHAnsi"/>
              </w:rPr>
            </w:pPr>
          </w:p>
          <w:p w:rsidR="00200E9B" w:rsidRPr="00880ECA" w:rsidRDefault="00200E9B" w:rsidP="00200E9B">
            <w:pPr>
              <w:tabs>
                <w:tab w:val="left" w:pos="733"/>
              </w:tabs>
              <w:rPr>
                <w:rFonts w:asciiTheme="minorHAnsi" w:hAnsiTheme="minorHAnsi" w:cstheme="minorHAnsi"/>
              </w:rPr>
            </w:pPr>
            <w:r w:rsidRPr="00880ECA">
              <w:rPr>
                <w:rFonts w:asciiTheme="minorHAnsi" w:hAnsiTheme="minorHAnsi" w:cstheme="minorHAnsi"/>
              </w:rPr>
              <w:t>The next Agent Talking Points will be on 1</w:t>
            </w:r>
            <w:r w:rsidR="001A2F5B" w:rsidRPr="00880ECA">
              <w:rPr>
                <w:rFonts w:asciiTheme="minorHAnsi" w:hAnsiTheme="minorHAnsi" w:cstheme="minorHAnsi"/>
              </w:rPr>
              <w:t>6</w:t>
            </w:r>
            <w:r w:rsidR="001A2F5B" w:rsidRPr="00880ECA">
              <w:rPr>
                <w:rFonts w:asciiTheme="minorHAnsi" w:hAnsiTheme="minorHAnsi" w:cstheme="minorHAnsi"/>
                <w:vertAlign w:val="superscript"/>
              </w:rPr>
              <w:t>th</w:t>
            </w:r>
            <w:r w:rsidR="001A2F5B" w:rsidRPr="00880ECA">
              <w:rPr>
                <w:rFonts w:asciiTheme="minorHAnsi" w:hAnsiTheme="minorHAnsi" w:cstheme="minorHAnsi"/>
              </w:rPr>
              <w:t xml:space="preserve"> </w:t>
            </w:r>
            <w:r w:rsidRPr="00880ECA">
              <w:rPr>
                <w:rFonts w:asciiTheme="minorHAnsi" w:hAnsiTheme="minorHAnsi" w:cstheme="minorHAnsi"/>
              </w:rPr>
              <w:t xml:space="preserve">and </w:t>
            </w:r>
            <w:r w:rsidR="001A2F5B" w:rsidRPr="00880ECA">
              <w:rPr>
                <w:rFonts w:asciiTheme="minorHAnsi" w:hAnsiTheme="minorHAnsi" w:cstheme="minorHAnsi"/>
              </w:rPr>
              <w:t>20</w:t>
            </w:r>
            <w:r w:rsidRPr="00880ECA">
              <w:rPr>
                <w:rFonts w:asciiTheme="minorHAnsi" w:hAnsiTheme="minorHAnsi" w:cstheme="minorHAnsi"/>
                <w:vertAlign w:val="superscript"/>
              </w:rPr>
              <w:t>th</w:t>
            </w:r>
            <w:r w:rsidRPr="00880ECA">
              <w:rPr>
                <w:rFonts w:asciiTheme="minorHAnsi" w:hAnsiTheme="minorHAnsi" w:cstheme="minorHAnsi"/>
              </w:rPr>
              <w:t xml:space="preserve"> </w:t>
            </w:r>
            <w:r w:rsidR="001A2F5B" w:rsidRPr="00880ECA">
              <w:rPr>
                <w:rFonts w:asciiTheme="minorHAnsi" w:hAnsiTheme="minorHAnsi" w:cstheme="minorHAnsi"/>
              </w:rPr>
              <w:t>May</w:t>
            </w:r>
            <w:r w:rsidRPr="00880ECA">
              <w:rPr>
                <w:rFonts w:asciiTheme="minorHAnsi" w:hAnsiTheme="minorHAnsi" w:cstheme="minorHAnsi"/>
              </w:rPr>
              <w:t xml:space="preserve"> 2019.</w:t>
            </w:r>
          </w:p>
          <w:p w:rsidR="00200E9B" w:rsidRPr="00880ECA" w:rsidRDefault="00200E9B" w:rsidP="00200E9B">
            <w:pPr>
              <w:tabs>
                <w:tab w:val="left" w:pos="733"/>
              </w:tabs>
              <w:rPr>
                <w:rFonts w:asciiTheme="minorHAnsi" w:hAnsiTheme="minorHAnsi" w:cstheme="minorHAnsi"/>
              </w:rPr>
            </w:pPr>
          </w:p>
          <w:p w:rsidR="00E435AD" w:rsidRPr="00880ECA" w:rsidRDefault="001A2F5B" w:rsidP="00200E9B">
            <w:pPr>
              <w:tabs>
                <w:tab w:val="left" w:pos="733"/>
              </w:tabs>
              <w:rPr>
                <w:rFonts w:asciiTheme="minorHAnsi" w:hAnsiTheme="minorHAnsi" w:cstheme="minorHAnsi"/>
              </w:rPr>
            </w:pPr>
            <w:r w:rsidRPr="00880ECA">
              <w:rPr>
                <w:rFonts w:asciiTheme="minorHAnsi" w:hAnsiTheme="minorHAnsi" w:cstheme="minorHAnsi"/>
              </w:rPr>
              <w:t xml:space="preserve">We will continue to cover how to create </w:t>
            </w:r>
            <w:r w:rsidR="00E435AD" w:rsidRPr="00880ECA">
              <w:rPr>
                <w:rFonts w:asciiTheme="minorHAnsi" w:hAnsiTheme="minorHAnsi" w:cstheme="minorHAnsi"/>
              </w:rPr>
              <w:t xml:space="preserve">the new Agent Services Account live, and </w:t>
            </w:r>
            <w:r w:rsidRPr="00880ECA">
              <w:rPr>
                <w:rFonts w:asciiTheme="minorHAnsi" w:hAnsiTheme="minorHAnsi" w:cstheme="minorHAnsi"/>
              </w:rPr>
              <w:t>many people walked through with us and successfully created their new account, linked existing clients and saw how to sign up clients to MTD.</w:t>
            </w:r>
          </w:p>
          <w:p w:rsidR="00E435AD" w:rsidRPr="00880ECA" w:rsidRDefault="00E435AD" w:rsidP="00200E9B">
            <w:pPr>
              <w:tabs>
                <w:tab w:val="left" w:pos="733"/>
              </w:tabs>
              <w:rPr>
                <w:rFonts w:asciiTheme="minorHAnsi" w:hAnsiTheme="minorHAnsi" w:cstheme="minorHAnsi"/>
              </w:rPr>
            </w:pPr>
          </w:p>
          <w:p w:rsidR="00200E9B" w:rsidRPr="00880ECA" w:rsidRDefault="00B552B2" w:rsidP="00200E9B">
            <w:pPr>
              <w:tabs>
                <w:tab w:val="left" w:pos="733"/>
              </w:tabs>
              <w:rPr>
                <w:rFonts w:asciiTheme="minorHAnsi" w:hAnsiTheme="minorHAnsi" w:cstheme="minorHAnsi"/>
              </w:rPr>
            </w:pPr>
            <w:r w:rsidRPr="00880ECA">
              <w:rPr>
                <w:rFonts w:asciiTheme="minorHAnsi" w:hAnsiTheme="minorHAnsi" w:cstheme="minorHAnsi"/>
              </w:rPr>
              <w:t>The next Business MTD webinar</w:t>
            </w:r>
            <w:r w:rsidR="00961FD8" w:rsidRPr="00880ECA">
              <w:rPr>
                <w:rFonts w:asciiTheme="minorHAnsi" w:hAnsiTheme="minorHAnsi" w:cstheme="minorHAnsi"/>
              </w:rPr>
              <w:t>s</w:t>
            </w:r>
            <w:r w:rsidR="00200E9B" w:rsidRPr="00880ECA">
              <w:rPr>
                <w:rFonts w:asciiTheme="minorHAnsi" w:hAnsiTheme="minorHAnsi" w:cstheme="minorHAnsi"/>
              </w:rPr>
              <w:t xml:space="preserve"> will be on </w:t>
            </w:r>
            <w:r w:rsidR="001A2F5B" w:rsidRPr="00880ECA">
              <w:rPr>
                <w:rFonts w:asciiTheme="minorHAnsi" w:hAnsiTheme="minorHAnsi" w:cstheme="minorHAnsi"/>
              </w:rPr>
              <w:t>1</w:t>
            </w:r>
            <w:r w:rsidR="001A2F5B" w:rsidRPr="00880ECA">
              <w:rPr>
                <w:rFonts w:asciiTheme="minorHAnsi" w:hAnsiTheme="minorHAnsi" w:cstheme="minorHAnsi"/>
                <w:vertAlign w:val="superscript"/>
              </w:rPr>
              <w:t>st</w:t>
            </w:r>
            <w:r w:rsidR="001A2F5B" w:rsidRPr="00880ECA">
              <w:rPr>
                <w:rFonts w:asciiTheme="minorHAnsi" w:hAnsiTheme="minorHAnsi" w:cstheme="minorHAnsi"/>
              </w:rPr>
              <w:t>, 3</w:t>
            </w:r>
            <w:r w:rsidR="001A2F5B" w:rsidRPr="00880ECA">
              <w:rPr>
                <w:rFonts w:asciiTheme="minorHAnsi" w:hAnsiTheme="minorHAnsi" w:cstheme="minorHAnsi"/>
                <w:vertAlign w:val="superscript"/>
              </w:rPr>
              <w:t>rd</w:t>
            </w:r>
            <w:r w:rsidR="001A2F5B" w:rsidRPr="00880ECA">
              <w:rPr>
                <w:rFonts w:asciiTheme="minorHAnsi" w:hAnsiTheme="minorHAnsi" w:cstheme="minorHAnsi"/>
              </w:rPr>
              <w:t>, 9</w:t>
            </w:r>
            <w:r w:rsidR="001A2F5B" w:rsidRPr="00880ECA">
              <w:rPr>
                <w:rFonts w:asciiTheme="minorHAnsi" w:hAnsiTheme="minorHAnsi" w:cstheme="minorHAnsi"/>
                <w:vertAlign w:val="superscript"/>
              </w:rPr>
              <w:t>th</w:t>
            </w:r>
            <w:r w:rsidR="001A2F5B" w:rsidRPr="00880ECA">
              <w:rPr>
                <w:rFonts w:asciiTheme="minorHAnsi" w:hAnsiTheme="minorHAnsi" w:cstheme="minorHAnsi"/>
              </w:rPr>
              <w:t>, 15</w:t>
            </w:r>
            <w:r w:rsidR="001A2F5B" w:rsidRPr="00880ECA">
              <w:rPr>
                <w:rFonts w:asciiTheme="minorHAnsi" w:hAnsiTheme="minorHAnsi" w:cstheme="minorHAnsi"/>
                <w:vertAlign w:val="superscript"/>
              </w:rPr>
              <w:t>th</w:t>
            </w:r>
            <w:r w:rsidR="001A2F5B" w:rsidRPr="00880ECA">
              <w:rPr>
                <w:rFonts w:asciiTheme="minorHAnsi" w:hAnsiTheme="minorHAnsi" w:cstheme="minorHAnsi"/>
              </w:rPr>
              <w:t>, 17</w:t>
            </w:r>
            <w:r w:rsidR="001A2F5B" w:rsidRPr="00880ECA">
              <w:rPr>
                <w:rFonts w:asciiTheme="minorHAnsi" w:hAnsiTheme="minorHAnsi" w:cstheme="minorHAnsi"/>
                <w:vertAlign w:val="superscript"/>
              </w:rPr>
              <w:t>th</w:t>
            </w:r>
            <w:r w:rsidR="001A2F5B" w:rsidRPr="00880ECA">
              <w:rPr>
                <w:rFonts w:asciiTheme="minorHAnsi" w:hAnsiTheme="minorHAnsi" w:cstheme="minorHAnsi"/>
              </w:rPr>
              <w:t>, 23</w:t>
            </w:r>
            <w:r w:rsidR="001A2F5B" w:rsidRPr="00880ECA">
              <w:rPr>
                <w:rFonts w:asciiTheme="minorHAnsi" w:hAnsiTheme="minorHAnsi" w:cstheme="minorHAnsi"/>
                <w:vertAlign w:val="superscript"/>
              </w:rPr>
              <w:t>rd</w:t>
            </w:r>
            <w:r w:rsidR="001A2F5B" w:rsidRPr="00880ECA">
              <w:rPr>
                <w:rFonts w:asciiTheme="minorHAnsi" w:hAnsiTheme="minorHAnsi" w:cstheme="minorHAnsi"/>
              </w:rPr>
              <w:t xml:space="preserve"> and 30</w:t>
            </w:r>
            <w:r w:rsidR="001A2F5B" w:rsidRPr="00880ECA">
              <w:rPr>
                <w:rFonts w:asciiTheme="minorHAnsi" w:hAnsiTheme="minorHAnsi" w:cstheme="minorHAnsi"/>
                <w:vertAlign w:val="superscript"/>
              </w:rPr>
              <w:t>th</w:t>
            </w:r>
            <w:r w:rsidR="001A2F5B" w:rsidRPr="00880ECA">
              <w:rPr>
                <w:rFonts w:asciiTheme="minorHAnsi" w:hAnsiTheme="minorHAnsi" w:cstheme="minorHAnsi"/>
              </w:rPr>
              <w:t xml:space="preserve"> May </w:t>
            </w:r>
            <w:r w:rsidR="00200E9B" w:rsidRPr="00880ECA">
              <w:rPr>
                <w:rFonts w:asciiTheme="minorHAnsi" w:hAnsiTheme="minorHAnsi" w:cstheme="minorHAnsi"/>
              </w:rPr>
              <w:t>2019</w:t>
            </w:r>
            <w:r w:rsidR="00961FD8" w:rsidRPr="00880ECA">
              <w:rPr>
                <w:rFonts w:asciiTheme="minorHAnsi" w:hAnsiTheme="minorHAnsi" w:cstheme="minorHAnsi"/>
              </w:rPr>
              <w:t xml:space="preserve"> -</w:t>
            </w:r>
            <w:r w:rsidR="001A2F5B" w:rsidRPr="00880ECA">
              <w:rPr>
                <w:rFonts w:asciiTheme="minorHAnsi" w:hAnsiTheme="minorHAnsi" w:cstheme="minorHAnsi"/>
              </w:rPr>
              <w:t>let your clients know, feedback has been overwhelmingly positive from businesses!</w:t>
            </w:r>
          </w:p>
          <w:p w:rsidR="00200E9B" w:rsidRPr="00880ECA" w:rsidRDefault="00200E9B" w:rsidP="00200E9B">
            <w:pPr>
              <w:tabs>
                <w:tab w:val="left" w:pos="733"/>
              </w:tabs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80ECA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        </w:t>
            </w:r>
          </w:p>
          <w:p w:rsidR="00200E9B" w:rsidRPr="00880ECA" w:rsidRDefault="00200E9B" w:rsidP="00880ECA">
            <w:pPr>
              <w:rPr>
                <w:rFonts w:asciiTheme="minorHAnsi" w:hAnsiTheme="minorHAnsi" w:cstheme="minorHAnsi"/>
              </w:rPr>
            </w:pPr>
            <w:r w:rsidRPr="00880ECA">
              <w:rPr>
                <w:rFonts w:asciiTheme="minorHAnsi" w:hAnsiTheme="minorHAnsi" w:cstheme="minorHAnsi"/>
              </w:rPr>
              <w:t>We look forward to as many joining the sessions as possible!</w:t>
            </w:r>
          </w:p>
          <w:p w:rsidR="009D64F4" w:rsidRPr="00880ECA" w:rsidRDefault="009D64F4" w:rsidP="00200E9B">
            <w:pPr>
              <w:pStyle w:val="ListParagraph"/>
              <w:rPr>
                <w:rFonts w:asciiTheme="minorHAnsi" w:hAnsiTheme="minorHAnsi" w:cstheme="minorHAnsi"/>
                <w:sz w:val="24"/>
              </w:rPr>
            </w:pPr>
          </w:p>
          <w:p w:rsidR="009D64F4" w:rsidRPr="009D64F4" w:rsidRDefault="009D64F4" w:rsidP="009D64F4">
            <w:pPr>
              <w:rPr>
                <w:rFonts w:asciiTheme="minorHAnsi" w:hAnsiTheme="minorHAnsi" w:cstheme="minorHAnsi"/>
              </w:rPr>
            </w:pPr>
            <w:r w:rsidRPr="00880ECA">
              <w:rPr>
                <w:rFonts w:asciiTheme="minorHAnsi" w:hAnsiTheme="minorHAnsi" w:cstheme="minorHAnsi"/>
              </w:rPr>
              <w:t xml:space="preserve">You can sign up to attend Talking Points here </w:t>
            </w:r>
            <w:hyperlink r:id="rId22" w:history="1">
              <w:r w:rsidRPr="00880ECA">
                <w:rPr>
                  <w:rStyle w:val="Hyperlink"/>
                  <w:rFonts w:asciiTheme="minorHAnsi" w:hAnsiTheme="minorHAnsi" w:cstheme="minorHAnsi"/>
                </w:rPr>
                <w:t>https://www.gov.uk/guidance/help-and-support-for-agents</w:t>
              </w:r>
            </w:hyperlink>
            <w:r w:rsidRPr="009D64F4">
              <w:rPr>
                <w:rFonts w:asciiTheme="minorHAnsi" w:hAnsiTheme="minorHAnsi" w:cstheme="minorHAnsi"/>
              </w:rPr>
              <w:t xml:space="preserve"> </w:t>
            </w:r>
          </w:p>
          <w:p w:rsidR="000F7183" w:rsidRDefault="009D64F4">
            <w:r>
              <w:t xml:space="preserve"> </w:t>
            </w:r>
          </w:p>
        </w:tc>
      </w:tr>
    </w:tbl>
    <w:tbl>
      <w:tblPr>
        <w:tblW w:w="90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5"/>
      </w:tblGrid>
      <w:tr w:rsidR="00200E9B" w:rsidRPr="007E44EB" w:rsidTr="004F302F">
        <w:trPr>
          <w:trHeight w:val="252"/>
        </w:trPr>
        <w:tc>
          <w:tcPr>
            <w:tcW w:w="90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E9B" w:rsidRPr="007E44EB" w:rsidRDefault="00200E9B" w:rsidP="004F302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bookmarkStart w:id="6" w:name="Useful"/>
            <w:r w:rsidRPr="00BE0BE7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</w:rPr>
              <w:t>Useful links</w:t>
            </w:r>
            <w:bookmarkEnd w:id="6"/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00E9B" w:rsidTr="00C0405F">
        <w:tc>
          <w:tcPr>
            <w:tcW w:w="9016" w:type="dxa"/>
          </w:tcPr>
          <w:p w:rsidR="00200E9B" w:rsidRPr="00913EFE" w:rsidRDefault="00200E9B" w:rsidP="00200E9B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  <w:p w:rsidR="00200E9B" w:rsidRPr="000F7183" w:rsidRDefault="00A21CD0" w:rsidP="00200E9B">
            <w:pPr>
              <w:rPr>
                <w:rFonts w:ascii="Calibri" w:eastAsia="Calibri" w:hAnsi="Calibri" w:cs="Calibri"/>
                <w:lang w:eastAsia="en-US"/>
              </w:rPr>
            </w:pPr>
            <w:hyperlink r:id="rId23" w:history="1">
              <w:r w:rsidR="00200E9B" w:rsidRPr="000F7183">
                <w:rPr>
                  <w:rFonts w:ascii="Calibri" w:eastAsia="Calibri" w:hAnsi="Calibri" w:cs="Calibri"/>
                  <w:color w:val="0563C1"/>
                  <w:u w:val="single"/>
                  <w:lang w:eastAsia="en-US"/>
                </w:rPr>
                <w:t>Making Tax Digital for VAT as an agent: step by step</w:t>
              </w:r>
            </w:hyperlink>
          </w:p>
          <w:p w:rsidR="00200E9B" w:rsidRPr="000F7183" w:rsidRDefault="00200E9B" w:rsidP="00200E9B">
            <w:pPr>
              <w:rPr>
                <w:rFonts w:ascii="Calibri" w:eastAsia="Calibri" w:hAnsi="Calibri" w:cs="Calibri"/>
                <w:lang w:eastAsia="en-US"/>
              </w:rPr>
            </w:pPr>
          </w:p>
          <w:p w:rsidR="00200E9B" w:rsidRPr="000F7183" w:rsidRDefault="00A21CD0" w:rsidP="00200E9B">
            <w:pPr>
              <w:rPr>
                <w:rFonts w:ascii="Calibri" w:eastAsia="Calibri" w:hAnsi="Calibri" w:cs="Calibri"/>
                <w:lang w:eastAsia="en-US"/>
              </w:rPr>
            </w:pPr>
            <w:hyperlink r:id="rId24" w:history="1">
              <w:r w:rsidR="00200E9B" w:rsidRPr="000F7183">
                <w:rPr>
                  <w:rFonts w:ascii="Calibri" w:eastAsia="Calibri" w:hAnsi="Calibri" w:cs="Calibri"/>
                  <w:color w:val="0563C1"/>
                  <w:u w:val="single"/>
                  <w:lang w:eastAsia="en-US"/>
                </w:rPr>
                <w:t>Sign in to your agent services account</w:t>
              </w:r>
            </w:hyperlink>
          </w:p>
          <w:p w:rsidR="00200E9B" w:rsidRPr="000F7183" w:rsidRDefault="00200E9B" w:rsidP="00200E9B">
            <w:pPr>
              <w:rPr>
                <w:rFonts w:ascii="Calibri" w:eastAsia="Calibri" w:hAnsi="Calibri" w:cs="Calibri"/>
                <w:lang w:eastAsia="en-US"/>
              </w:rPr>
            </w:pPr>
          </w:p>
          <w:p w:rsidR="00200E9B" w:rsidRPr="000F7183" w:rsidRDefault="00A21CD0" w:rsidP="00200E9B">
            <w:pPr>
              <w:rPr>
                <w:rFonts w:ascii="Calibri" w:eastAsia="Calibri" w:hAnsi="Calibri" w:cs="Calibri"/>
                <w:lang w:eastAsia="en-US"/>
              </w:rPr>
            </w:pPr>
            <w:hyperlink r:id="rId25" w:history="1">
              <w:r w:rsidR="00200E9B" w:rsidRPr="000F7183">
                <w:rPr>
                  <w:rFonts w:ascii="Calibri" w:eastAsia="Calibri" w:hAnsi="Calibri" w:cs="Calibri"/>
                  <w:color w:val="0563C1"/>
                  <w:u w:val="single"/>
                  <w:lang w:eastAsia="en-US"/>
                </w:rPr>
                <w:t>Link clients to your agent services account</w:t>
              </w:r>
            </w:hyperlink>
          </w:p>
          <w:p w:rsidR="00200E9B" w:rsidRPr="000F7183" w:rsidRDefault="00200E9B" w:rsidP="00200E9B">
            <w:pPr>
              <w:rPr>
                <w:rFonts w:ascii="Calibri" w:eastAsia="Calibri" w:hAnsi="Calibri" w:cs="Calibri"/>
                <w:lang w:eastAsia="en-US"/>
              </w:rPr>
            </w:pPr>
          </w:p>
          <w:p w:rsidR="00200E9B" w:rsidRPr="000F7183" w:rsidRDefault="00A21CD0" w:rsidP="00200E9B">
            <w:pPr>
              <w:rPr>
                <w:rFonts w:ascii="Calibri" w:eastAsia="Calibri" w:hAnsi="Calibri" w:cs="Calibri"/>
                <w:lang w:eastAsia="en-US"/>
              </w:rPr>
            </w:pPr>
            <w:hyperlink r:id="rId26" w:history="1">
              <w:r w:rsidR="00200E9B" w:rsidRPr="000F7183">
                <w:rPr>
                  <w:rFonts w:ascii="Calibri" w:eastAsia="Calibri" w:hAnsi="Calibri" w:cs="Calibri"/>
                  <w:color w:val="0563C1"/>
                  <w:u w:val="single"/>
                  <w:lang w:eastAsia="en-US"/>
                </w:rPr>
                <w:t>Sign up for Making Tax Digital for VAT</w:t>
              </w:r>
            </w:hyperlink>
          </w:p>
          <w:p w:rsidR="00200E9B" w:rsidRPr="000F7183" w:rsidRDefault="00200E9B" w:rsidP="00200E9B">
            <w:pPr>
              <w:rPr>
                <w:rFonts w:ascii="Calibri" w:eastAsia="Calibri" w:hAnsi="Calibri" w:cs="Calibri"/>
                <w:lang w:eastAsia="en-US"/>
              </w:rPr>
            </w:pPr>
          </w:p>
          <w:p w:rsidR="00200E9B" w:rsidRPr="000F7183" w:rsidRDefault="00A21CD0" w:rsidP="00200E9B">
            <w:pPr>
              <w:rPr>
                <w:rFonts w:ascii="Calibri" w:eastAsia="Calibri" w:hAnsi="Calibri" w:cs="Calibri"/>
                <w:lang w:eastAsia="en-US"/>
              </w:rPr>
            </w:pPr>
            <w:hyperlink r:id="rId27" w:history="1">
              <w:r w:rsidR="00200E9B" w:rsidRPr="000F7183">
                <w:rPr>
                  <w:rFonts w:ascii="Calibri" w:eastAsia="Calibri" w:hAnsi="Calibri" w:cs="Calibri"/>
                  <w:color w:val="0563C1"/>
                  <w:u w:val="single"/>
                  <w:lang w:eastAsia="en-US"/>
                </w:rPr>
                <w:t>Check when a business must follow the rules for Making Tax Digital for VAT</w:t>
              </w:r>
            </w:hyperlink>
          </w:p>
          <w:p w:rsidR="00200E9B" w:rsidRPr="000F7183" w:rsidRDefault="00200E9B" w:rsidP="00200E9B">
            <w:pPr>
              <w:rPr>
                <w:rFonts w:ascii="Calibri" w:eastAsia="Calibri" w:hAnsi="Calibri" w:cs="Calibri"/>
                <w:lang w:eastAsia="en-US"/>
              </w:rPr>
            </w:pPr>
          </w:p>
          <w:p w:rsidR="00200E9B" w:rsidRPr="000F7183" w:rsidRDefault="00A21CD0" w:rsidP="00200E9B">
            <w:pPr>
              <w:rPr>
                <w:rFonts w:ascii="Calibri" w:eastAsia="Calibri" w:hAnsi="Calibri" w:cs="Calibri"/>
                <w:lang w:eastAsia="en-US"/>
              </w:rPr>
            </w:pPr>
            <w:hyperlink r:id="rId28" w:history="1">
              <w:r w:rsidR="00200E9B" w:rsidRPr="000F7183">
                <w:rPr>
                  <w:rFonts w:ascii="Calibri" w:eastAsia="Calibri" w:hAnsi="Calibri" w:cs="Calibri"/>
                  <w:color w:val="0563C1"/>
                  <w:u w:val="single"/>
                  <w:lang w:eastAsia="en-US"/>
                </w:rPr>
                <w:t>Create an agent services account</w:t>
              </w:r>
            </w:hyperlink>
          </w:p>
          <w:p w:rsidR="00200E9B" w:rsidRPr="000F7183" w:rsidRDefault="00200E9B" w:rsidP="00200E9B">
            <w:pPr>
              <w:rPr>
                <w:rFonts w:ascii="Calibri" w:eastAsia="Calibri" w:hAnsi="Calibri" w:cs="Calibri"/>
                <w:lang w:eastAsia="en-US"/>
              </w:rPr>
            </w:pPr>
          </w:p>
          <w:p w:rsidR="00200E9B" w:rsidRPr="000F7183" w:rsidRDefault="00A21CD0" w:rsidP="00200E9B">
            <w:pPr>
              <w:rPr>
                <w:rFonts w:ascii="Calibri" w:eastAsia="Calibri" w:hAnsi="Calibri" w:cs="Calibri"/>
                <w:lang w:eastAsia="en-US"/>
              </w:rPr>
            </w:pPr>
            <w:hyperlink r:id="rId29" w:history="1">
              <w:r w:rsidR="00200E9B" w:rsidRPr="000F7183">
                <w:rPr>
                  <w:rFonts w:ascii="Calibri" w:eastAsia="Calibri" w:hAnsi="Calibri" w:cs="Calibri"/>
                  <w:color w:val="0563C1"/>
                  <w:u w:val="single"/>
                  <w:lang w:eastAsia="en-US"/>
                </w:rPr>
                <w:t>Help and support for Making Tax Digital</w:t>
              </w:r>
            </w:hyperlink>
          </w:p>
          <w:p w:rsidR="00200E9B" w:rsidRPr="000F7183" w:rsidRDefault="00200E9B" w:rsidP="00200E9B">
            <w:pPr>
              <w:rPr>
                <w:rFonts w:ascii="Calibri" w:eastAsia="Calibri" w:hAnsi="Calibri" w:cs="Calibri"/>
                <w:lang w:eastAsia="en-US"/>
              </w:rPr>
            </w:pPr>
          </w:p>
          <w:p w:rsidR="00200E9B" w:rsidRPr="000F7183" w:rsidRDefault="00A21CD0" w:rsidP="00200E9B">
            <w:pPr>
              <w:rPr>
                <w:rFonts w:ascii="Calibri" w:eastAsia="Calibri" w:hAnsi="Calibri" w:cs="Calibri"/>
                <w:lang w:eastAsia="en-US"/>
              </w:rPr>
            </w:pPr>
            <w:hyperlink r:id="rId30" w:history="1">
              <w:r w:rsidR="00200E9B" w:rsidRPr="000F7183">
                <w:rPr>
                  <w:rFonts w:ascii="Calibri" w:eastAsia="Calibri" w:hAnsi="Calibri" w:cs="Calibri"/>
                  <w:color w:val="0563C1"/>
                  <w:u w:val="single"/>
                  <w:lang w:eastAsia="en-US"/>
                </w:rPr>
                <w:t>Update your client's details for Making Tax Digital for VAT</w:t>
              </w:r>
            </w:hyperlink>
          </w:p>
          <w:p w:rsidR="00200E9B" w:rsidRPr="000F7183" w:rsidRDefault="00200E9B" w:rsidP="00200E9B">
            <w:pPr>
              <w:rPr>
                <w:rFonts w:ascii="Calibri" w:eastAsia="Calibri" w:hAnsi="Calibri" w:cs="Calibri"/>
                <w:lang w:eastAsia="en-US"/>
              </w:rPr>
            </w:pPr>
          </w:p>
          <w:p w:rsidR="00200E9B" w:rsidRPr="00D85D54" w:rsidRDefault="00200E9B">
            <w:pPr>
              <w:rPr>
                <w:rFonts w:asciiTheme="minorHAnsi" w:eastAsia="Calibri" w:hAnsiTheme="minorHAnsi" w:cstheme="minorHAnsi"/>
                <w:lang w:eastAsia="en-US"/>
              </w:rPr>
            </w:pPr>
            <w:r w:rsidRPr="000F7183">
              <w:rPr>
                <w:rFonts w:ascii="Calibri" w:eastAsia="Calibri" w:hAnsi="Calibri" w:cs="Calibri"/>
                <w:color w:val="0563C1"/>
                <w:u w:val="single"/>
                <w:lang w:eastAsia="en-US"/>
              </w:rPr>
              <w:t>Find software suppliers for sending VAT Returns and Income Tax updates</w:t>
            </w:r>
            <w:r w:rsidR="003602C2" w:rsidRPr="000F7183">
              <w:rPr>
                <w:rFonts w:ascii="Calibri" w:eastAsia="Calibri" w:hAnsi="Calibri" w:cs="Calibri"/>
                <w:color w:val="0563C1"/>
                <w:u w:val="single"/>
                <w:lang w:eastAsia="en-US"/>
              </w:rPr>
              <w:t xml:space="preserve">: </w:t>
            </w:r>
            <w:r w:rsidR="003602C2" w:rsidRPr="000F7183">
              <w:rPr>
                <w:rFonts w:ascii="Calibri" w:eastAsia="Calibri" w:hAnsi="Calibri" w:cs="Calibri"/>
                <w:color w:val="0563C1"/>
                <w:lang w:eastAsia="en-US"/>
              </w:rPr>
              <w:t xml:space="preserve"> </w:t>
            </w:r>
            <w:hyperlink r:id="rId31" w:history="1">
              <w:r w:rsidR="003602C2" w:rsidRPr="000F7183">
                <w:rPr>
                  <w:rStyle w:val="Hyperlink"/>
                  <w:rFonts w:asciiTheme="minorHAnsi" w:hAnsiTheme="minorHAnsi" w:cstheme="minorHAnsi"/>
                  <w:lang w:val="en"/>
                </w:rPr>
                <w:t>Making Tax Digital for VAT</w:t>
              </w:r>
            </w:hyperlink>
            <w:r w:rsidR="003602C2" w:rsidRPr="000F7183">
              <w:rPr>
                <w:rFonts w:asciiTheme="minorHAnsi" w:hAnsiTheme="minorHAnsi" w:cstheme="minorHAnsi"/>
                <w:lang w:val="en"/>
              </w:rPr>
              <w:t xml:space="preserve"> and </w:t>
            </w:r>
            <w:hyperlink r:id="rId32" w:history="1">
              <w:r w:rsidR="003602C2" w:rsidRPr="000F7183">
                <w:rPr>
                  <w:rStyle w:val="Hyperlink"/>
                  <w:rFonts w:asciiTheme="minorHAnsi" w:hAnsiTheme="minorHAnsi" w:cstheme="minorHAnsi"/>
                  <w:lang w:val="en"/>
                </w:rPr>
                <w:t>Making Tax Digital for Income Tax</w:t>
              </w:r>
            </w:hyperlink>
            <w:r w:rsidR="003602C2" w:rsidRPr="000F7183">
              <w:rPr>
                <w:rFonts w:asciiTheme="minorHAnsi" w:hAnsiTheme="minorHAnsi" w:cstheme="minorHAnsi"/>
                <w:lang w:val="en"/>
              </w:rPr>
              <w:t>.</w:t>
            </w:r>
          </w:p>
        </w:tc>
      </w:tr>
    </w:tbl>
    <w:p w:rsidR="0032797A" w:rsidRDefault="0032797A" w:rsidP="00CE2BD1"/>
    <w:sectPr w:rsidR="00327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40231"/>
    <w:multiLevelType w:val="multilevel"/>
    <w:tmpl w:val="A5AE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E58FD"/>
    <w:multiLevelType w:val="hybridMultilevel"/>
    <w:tmpl w:val="6DD61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D19DA"/>
    <w:multiLevelType w:val="hybridMultilevel"/>
    <w:tmpl w:val="FB800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58A6"/>
    <w:multiLevelType w:val="hybridMultilevel"/>
    <w:tmpl w:val="268AE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65FB"/>
    <w:multiLevelType w:val="hybridMultilevel"/>
    <w:tmpl w:val="5A3E8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C67B9"/>
    <w:multiLevelType w:val="hybridMultilevel"/>
    <w:tmpl w:val="2B085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F681C"/>
    <w:multiLevelType w:val="hybridMultilevel"/>
    <w:tmpl w:val="5440A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F497B"/>
    <w:multiLevelType w:val="multilevel"/>
    <w:tmpl w:val="7EE0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A1137"/>
    <w:multiLevelType w:val="hybridMultilevel"/>
    <w:tmpl w:val="05DE4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73B01"/>
    <w:multiLevelType w:val="hybridMultilevel"/>
    <w:tmpl w:val="B412C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5691C"/>
    <w:multiLevelType w:val="multilevel"/>
    <w:tmpl w:val="3822C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D05A48"/>
    <w:multiLevelType w:val="multilevel"/>
    <w:tmpl w:val="7202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593BBB"/>
    <w:multiLevelType w:val="hybridMultilevel"/>
    <w:tmpl w:val="8926E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8402E"/>
    <w:multiLevelType w:val="hybridMultilevel"/>
    <w:tmpl w:val="E9888E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A232FD"/>
    <w:multiLevelType w:val="multilevel"/>
    <w:tmpl w:val="C5388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13"/>
  </w:num>
  <w:num w:numId="7">
    <w:abstractNumId w:val="5"/>
  </w:num>
  <w:num w:numId="8">
    <w:abstractNumId w:val="14"/>
  </w:num>
  <w:num w:numId="9">
    <w:abstractNumId w:val="0"/>
  </w:num>
  <w:num w:numId="10">
    <w:abstractNumId w:val="11"/>
  </w:num>
  <w:num w:numId="11">
    <w:abstractNumId w:val="7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5F"/>
    <w:rsid w:val="000D07FD"/>
    <w:rsid w:val="000D09A4"/>
    <w:rsid w:val="000F7183"/>
    <w:rsid w:val="00124C15"/>
    <w:rsid w:val="00174DAA"/>
    <w:rsid w:val="001A2F5B"/>
    <w:rsid w:val="00200E9B"/>
    <w:rsid w:val="002025D3"/>
    <w:rsid w:val="00230C98"/>
    <w:rsid w:val="0024551B"/>
    <w:rsid w:val="002761F5"/>
    <w:rsid w:val="00295C25"/>
    <w:rsid w:val="002C4242"/>
    <w:rsid w:val="0032797A"/>
    <w:rsid w:val="003602C2"/>
    <w:rsid w:val="00381CF1"/>
    <w:rsid w:val="003F7040"/>
    <w:rsid w:val="004F302F"/>
    <w:rsid w:val="0051052E"/>
    <w:rsid w:val="00524F7B"/>
    <w:rsid w:val="00546013"/>
    <w:rsid w:val="006428AE"/>
    <w:rsid w:val="00666183"/>
    <w:rsid w:val="006915CF"/>
    <w:rsid w:val="00772B0F"/>
    <w:rsid w:val="00821D0C"/>
    <w:rsid w:val="00826511"/>
    <w:rsid w:val="00843011"/>
    <w:rsid w:val="00880ECA"/>
    <w:rsid w:val="00894A0C"/>
    <w:rsid w:val="00961FD8"/>
    <w:rsid w:val="009944B0"/>
    <w:rsid w:val="009D64F4"/>
    <w:rsid w:val="00A07155"/>
    <w:rsid w:val="00A1321D"/>
    <w:rsid w:val="00A13ED5"/>
    <w:rsid w:val="00A21CD0"/>
    <w:rsid w:val="00B27289"/>
    <w:rsid w:val="00B33CF3"/>
    <w:rsid w:val="00B50CE3"/>
    <w:rsid w:val="00B552B2"/>
    <w:rsid w:val="00B71EB0"/>
    <w:rsid w:val="00BB32CA"/>
    <w:rsid w:val="00BB4741"/>
    <w:rsid w:val="00BB512E"/>
    <w:rsid w:val="00BC12F5"/>
    <w:rsid w:val="00BE0BE7"/>
    <w:rsid w:val="00C0405F"/>
    <w:rsid w:val="00CA7195"/>
    <w:rsid w:val="00CE0AF0"/>
    <w:rsid w:val="00CE2AE2"/>
    <w:rsid w:val="00CE2BD1"/>
    <w:rsid w:val="00D05A4F"/>
    <w:rsid w:val="00D66C36"/>
    <w:rsid w:val="00D7502E"/>
    <w:rsid w:val="00D85743"/>
    <w:rsid w:val="00D85D54"/>
    <w:rsid w:val="00DA159B"/>
    <w:rsid w:val="00E435AD"/>
    <w:rsid w:val="00E94539"/>
    <w:rsid w:val="00E97CCD"/>
    <w:rsid w:val="00F83C91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E0973-B2BC-4D39-A6D3-29D11872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05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5A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602C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602C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0405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0405F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546013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3602C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602C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05A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2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2B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2B0F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2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2B0F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2B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0F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40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ngtaxdigital.mailbox@hmrc.gov.uk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online.hmrc.gov.uk/webchatprod/community/forums/show/131.page" TargetMode="External"/><Relationship Id="rId26" Type="http://schemas.openxmlformats.org/officeDocument/2006/relationships/hyperlink" Target="https://www.gov.uk/guidance/sign-up-for-making-tax-digital-for-vat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g"/><Relationship Id="rId34" Type="http://schemas.openxmlformats.org/officeDocument/2006/relationships/theme" Target="theme/theme1.xml"/><Relationship Id="rId7" Type="http://schemas.openxmlformats.org/officeDocument/2006/relationships/image" Target="cid:image002.jpg@01D472B2.51EBCCA0" TargetMode="External"/><Relationship Id="rId12" Type="http://schemas.openxmlformats.org/officeDocument/2006/relationships/hyperlink" Target="https://www.gov.uk/" TargetMode="External"/><Relationship Id="rId17" Type="http://schemas.openxmlformats.org/officeDocument/2006/relationships/hyperlink" Target="https://www.gov.uk/guidance/making-tax-digital-for-vat" TargetMode="External"/><Relationship Id="rId25" Type="http://schemas.openxmlformats.org/officeDocument/2006/relationships/hyperlink" Target="https://www.gov.uk/guidance/link-clients-to-your-agent-services-account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v.uk/guidance/making-tax-digital-for-vat-as-an-agent-step-by-step" TargetMode="External"/><Relationship Id="rId20" Type="http://schemas.openxmlformats.org/officeDocument/2006/relationships/hyperlink" Target="https://www.tax.service.gov.uk/making-tax-digital-software" TargetMode="External"/><Relationship Id="rId29" Type="http://schemas.openxmlformats.org/officeDocument/2006/relationships/hyperlink" Target="https://www.gov.uk/guidance/help-and-support-for-making-tax-digita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24" Type="http://schemas.openxmlformats.org/officeDocument/2006/relationships/hyperlink" Target="https://www.gov.uk/guidance/sign-in-to-your-agent-services-account" TargetMode="External"/><Relationship Id="rId32" Type="http://schemas.openxmlformats.org/officeDocument/2006/relationships/hyperlink" Target="https://www.gov.uk/guidance/find-software-thats-compatible-with-making-tax-digital-for-income-ta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hyperlink" Target="https://www.gov.uk/guidance/making-tax-digital-for-vat-as-an-agent-step-by-step" TargetMode="External"/><Relationship Id="rId28" Type="http://schemas.openxmlformats.org/officeDocument/2006/relationships/hyperlink" Target="https://www.gov.uk/guidance/get-an-hmrc-agent-services-account" TargetMode="External"/><Relationship Id="rId10" Type="http://schemas.openxmlformats.org/officeDocument/2006/relationships/hyperlink" Target="https://www.gov.uk/" TargetMode="External"/><Relationship Id="rId19" Type="http://schemas.openxmlformats.org/officeDocument/2006/relationships/hyperlink" Target="https://www.gov.uk/government/publications/vat-notice-70022-making-tax-digital-for-vat/vat-notice-70022-making-tax-digital-for-vat" TargetMode="External"/><Relationship Id="rId31" Type="http://schemas.openxmlformats.org/officeDocument/2006/relationships/hyperlink" Target="https://www.gov.uk/guidance/find-software-thats-compatible-with-making-tax-digital-for-va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GOV.UK" TargetMode="External"/><Relationship Id="rId22" Type="http://schemas.openxmlformats.org/officeDocument/2006/relationships/hyperlink" Target="https://www.gov.uk/guidance/help-and-support-for-agents" TargetMode="External"/><Relationship Id="rId27" Type="http://schemas.openxmlformats.org/officeDocument/2006/relationships/hyperlink" Target="https://www.gov.uk/guidance/check-when-a-business-must-follow-the-rules-for-making-tax-digital-for-vat" TargetMode="External"/><Relationship Id="rId30" Type="http://schemas.openxmlformats.org/officeDocument/2006/relationships/hyperlink" Target="https://www.gov.uk/guidance/update-your-clients-business-details-if-theyre-part-of-the-making-tax-digital-for-vat-pil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059B8-128F-43D6-853F-A04785FF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Barry, Lenny (MTDB Transformation)</dc:creator>
  <cp:keywords/>
  <dc:description/>
  <cp:lastModifiedBy>Chris Lane</cp:lastModifiedBy>
  <cp:revision>2</cp:revision>
  <dcterms:created xsi:type="dcterms:W3CDTF">2019-05-14T13:25:00Z</dcterms:created>
  <dcterms:modified xsi:type="dcterms:W3CDTF">2019-05-14T13:25:00Z</dcterms:modified>
</cp:coreProperties>
</file>