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4DDCF" w14:textId="4B8EE848" w:rsidR="00D93AF1" w:rsidRPr="008808C4" w:rsidRDefault="00D93AF1" w:rsidP="00CD307B">
      <w:pPr>
        <w:spacing w:after="200"/>
        <w:jc w:val="center"/>
        <w:rPr>
          <w:rFonts w:asciiTheme="minorHAnsi" w:hAnsiTheme="minorHAnsi" w:cstheme="minorHAnsi"/>
          <w:b/>
          <w:bCs/>
          <w:sz w:val="24"/>
          <w:szCs w:val="24"/>
        </w:rPr>
      </w:pPr>
      <w:r w:rsidRPr="008808C4">
        <w:rPr>
          <w:rFonts w:asciiTheme="minorHAnsi" w:hAnsiTheme="minorHAnsi" w:cstheme="minorHAnsi"/>
          <w:b/>
          <w:bCs/>
          <w:sz w:val="24"/>
          <w:szCs w:val="24"/>
        </w:rPr>
        <w:t>OECD Secretariat Proposal for a “Unified Approach” under Pillar One</w:t>
      </w:r>
    </w:p>
    <w:p w14:paraId="5467599E" w14:textId="0F6747D7" w:rsidR="00A64D78" w:rsidRPr="00CB1B1B" w:rsidRDefault="00A64D78" w:rsidP="00CD307B">
      <w:pPr>
        <w:spacing w:after="200"/>
        <w:jc w:val="center"/>
        <w:rPr>
          <w:rFonts w:ascii="Calibri" w:hAnsi="Calibri"/>
          <w:b/>
          <w:bCs/>
          <w:i/>
          <w:iCs/>
          <w:sz w:val="24"/>
          <w:szCs w:val="24"/>
        </w:rPr>
      </w:pPr>
      <w:r w:rsidRPr="00CB1B1B">
        <w:rPr>
          <w:rFonts w:ascii="Calibri" w:hAnsi="Calibri"/>
          <w:b/>
          <w:bCs/>
          <w:i/>
          <w:iCs/>
          <w:sz w:val="24"/>
          <w:szCs w:val="24"/>
        </w:rPr>
        <w:t xml:space="preserve">Response to the </w:t>
      </w:r>
      <w:r w:rsidR="00D93AF1">
        <w:rPr>
          <w:rFonts w:ascii="Calibri" w:hAnsi="Calibri"/>
          <w:b/>
          <w:bCs/>
          <w:i/>
          <w:iCs/>
          <w:sz w:val="24"/>
          <w:szCs w:val="24"/>
        </w:rPr>
        <w:t>Consultation</w:t>
      </w:r>
      <w:r w:rsidRPr="00CB1B1B">
        <w:rPr>
          <w:rFonts w:ascii="Calibri" w:hAnsi="Calibri"/>
          <w:b/>
          <w:bCs/>
          <w:i/>
          <w:iCs/>
          <w:sz w:val="24"/>
          <w:szCs w:val="24"/>
        </w:rPr>
        <w:t xml:space="preserve"> by the Charity Tax Group</w:t>
      </w:r>
    </w:p>
    <w:p w14:paraId="048F13C0" w14:textId="719172B0" w:rsidR="00A64D78" w:rsidRPr="008529F6" w:rsidRDefault="00AC6316" w:rsidP="008529F6">
      <w:pPr>
        <w:spacing w:after="200"/>
        <w:jc w:val="center"/>
        <w:rPr>
          <w:rFonts w:ascii="Calibri" w:hAnsi="Calibri"/>
          <w:b/>
          <w:sz w:val="24"/>
          <w:szCs w:val="24"/>
        </w:rPr>
      </w:pPr>
      <w:r>
        <w:rPr>
          <w:rFonts w:ascii="Calibri" w:hAnsi="Calibri"/>
          <w:b/>
          <w:sz w:val="24"/>
          <w:szCs w:val="24"/>
        </w:rPr>
        <w:t>12 November</w:t>
      </w:r>
      <w:bookmarkStart w:id="0" w:name="_GoBack"/>
      <w:bookmarkEnd w:id="0"/>
      <w:r w:rsidR="00B25936">
        <w:rPr>
          <w:rFonts w:ascii="Calibri" w:hAnsi="Calibri"/>
          <w:b/>
          <w:sz w:val="24"/>
          <w:szCs w:val="24"/>
        </w:rPr>
        <w:t xml:space="preserve"> </w:t>
      </w:r>
      <w:r w:rsidR="00A64D78">
        <w:rPr>
          <w:rFonts w:ascii="Calibri" w:hAnsi="Calibri"/>
          <w:b/>
          <w:sz w:val="24"/>
          <w:szCs w:val="24"/>
        </w:rPr>
        <w:t>201</w:t>
      </w:r>
      <w:r w:rsidR="008837F7">
        <w:rPr>
          <w:rFonts w:ascii="Calibri" w:hAnsi="Calibri"/>
          <w:b/>
          <w:sz w:val="24"/>
          <w:szCs w:val="24"/>
        </w:rPr>
        <w:t>9</w:t>
      </w:r>
    </w:p>
    <w:p w14:paraId="137C5CDB" w14:textId="3AB63502" w:rsidR="00B25936" w:rsidRPr="00B25936" w:rsidRDefault="00B25936" w:rsidP="00B25936">
      <w:pPr>
        <w:pStyle w:val="NoSpacing"/>
        <w:jc w:val="both"/>
        <w:rPr>
          <w:rFonts w:asciiTheme="minorHAnsi" w:hAnsiTheme="minorHAnsi"/>
          <w:b/>
          <w:bCs/>
          <w:sz w:val="22"/>
          <w:szCs w:val="22"/>
        </w:rPr>
      </w:pPr>
      <w:r w:rsidRPr="00B25936">
        <w:rPr>
          <w:rFonts w:asciiTheme="minorHAnsi" w:hAnsiTheme="minorHAnsi"/>
          <w:b/>
          <w:bCs/>
          <w:sz w:val="22"/>
          <w:szCs w:val="22"/>
        </w:rPr>
        <w:t>Introduction</w:t>
      </w:r>
    </w:p>
    <w:p w14:paraId="7E1C29F9" w14:textId="77777777" w:rsidR="00B25936" w:rsidRDefault="00B25936" w:rsidP="00B25936">
      <w:pPr>
        <w:pStyle w:val="NoSpacing"/>
        <w:ind w:left="426"/>
        <w:jc w:val="both"/>
        <w:rPr>
          <w:rFonts w:asciiTheme="minorHAnsi" w:hAnsiTheme="minorHAnsi"/>
          <w:sz w:val="22"/>
          <w:szCs w:val="22"/>
          <w:highlight w:val="yellow"/>
        </w:rPr>
      </w:pPr>
    </w:p>
    <w:p w14:paraId="6669A614" w14:textId="3DB762AB" w:rsidR="00BF3041" w:rsidRPr="00B25936" w:rsidRDefault="00BF3041" w:rsidP="00A64D78">
      <w:pPr>
        <w:pStyle w:val="NoSpacing"/>
        <w:numPr>
          <w:ilvl w:val="0"/>
          <w:numId w:val="11"/>
        </w:numPr>
        <w:ind w:left="426" w:hanging="426"/>
        <w:jc w:val="both"/>
        <w:rPr>
          <w:rFonts w:asciiTheme="minorHAnsi" w:hAnsiTheme="minorHAnsi"/>
          <w:sz w:val="22"/>
          <w:szCs w:val="22"/>
        </w:rPr>
      </w:pPr>
      <w:r w:rsidRPr="00B25936">
        <w:rPr>
          <w:rFonts w:asciiTheme="minorHAnsi" w:hAnsiTheme="minorHAnsi"/>
          <w:sz w:val="22"/>
          <w:szCs w:val="22"/>
        </w:rPr>
        <w:t xml:space="preserve">The Charity Tax Group (CTG) has over </w:t>
      </w:r>
      <w:r w:rsidR="008837F7" w:rsidRPr="00B25936">
        <w:rPr>
          <w:rFonts w:asciiTheme="minorHAnsi" w:hAnsiTheme="minorHAnsi"/>
          <w:sz w:val="22"/>
          <w:szCs w:val="22"/>
        </w:rPr>
        <w:t>7</w:t>
      </w:r>
      <w:r w:rsidRPr="00B25936">
        <w:rPr>
          <w:rFonts w:asciiTheme="minorHAnsi" w:hAnsiTheme="minorHAnsi"/>
          <w:sz w:val="22"/>
          <w:szCs w:val="22"/>
        </w:rPr>
        <w:t>00 members of all sizes representing all types of charitable activity</w:t>
      </w:r>
      <w:r w:rsidR="00D93AF1">
        <w:rPr>
          <w:rFonts w:asciiTheme="minorHAnsi" w:hAnsiTheme="minorHAnsi"/>
          <w:sz w:val="22"/>
          <w:szCs w:val="22"/>
        </w:rPr>
        <w:t xml:space="preserve"> in the United Kingdom</w:t>
      </w:r>
      <w:r w:rsidRPr="00B25936">
        <w:rPr>
          <w:rFonts w:asciiTheme="minorHAnsi" w:hAnsiTheme="minorHAnsi"/>
          <w:sz w:val="22"/>
          <w:szCs w:val="22"/>
        </w:rPr>
        <w:t xml:space="preserve">. </w:t>
      </w:r>
      <w:r w:rsidR="00485B45">
        <w:rPr>
          <w:rFonts w:asciiTheme="minorHAnsi" w:hAnsiTheme="minorHAnsi"/>
          <w:sz w:val="22"/>
          <w:szCs w:val="22"/>
        </w:rPr>
        <w:t xml:space="preserve">The organisation </w:t>
      </w:r>
      <w:r w:rsidRPr="00B25936">
        <w:rPr>
          <w:rFonts w:asciiTheme="minorHAnsi" w:hAnsiTheme="minorHAnsi"/>
          <w:sz w:val="22"/>
          <w:szCs w:val="22"/>
        </w:rPr>
        <w:t xml:space="preserve">was </w:t>
      </w:r>
      <w:r w:rsidR="007C6E12" w:rsidRPr="00B25936">
        <w:rPr>
          <w:rFonts w:asciiTheme="minorHAnsi" w:hAnsiTheme="minorHAnsi"/>
          <w:sz w:val="22"/>
          <w:szCs w:val="22"/>
        </w:rPr>
        <w:t>set up</w:t>
      </w:r>
      <w:r w:rsidRPr="00B25936">
        <w:rPr>
          <w:rFonts w:asciiTheme="minorHAnsi" w:hAnsiTheme="minorHAnsi"/>
          <w:sz w:val="22"/>
          <w:szCs w:val="22"/>
        </w:rPr>
        <w:t xml:space="preserve"> in 1982 to make representations to charity taxation and it has since become the leading voice for the</w:t>
      </w:r>
      <w:r w:rsidR="00D93AF1">
        <w:rPr>
          <w:rFonts w:asciiTheme="minorHAnsi" w:hAnsiTheme="minorHAnsi"/>
          <w:sz w:val="22"/>
          <w:szCs w:val="22"/>
        </w:rPr>
        <w:t xml:space="preserve"> UK charity</w:t>
      </w:r>
      <w:r w:rsidRPr="00B25936">
        <w:rPr>
          <w:rFonts w:asciiTheme="minorHAnsi" w:hAnsiTheme="minorHAnsi"/>
          <w:sz w:val="22"/>
          <w:szCs w:val="22"/>
        </w:rPr>
        <w:t xml:space="preserve"> sector on this issue.</w:t>
      </w:r>
    </w:p>
    <w:p w14:paraId="0370C322" w14:textId="77777777" w:rsidR="00A64D78" w:rsidRPr="00B25936" w:rsidRDefault="00A64D78" w:rsidP="00A64D78">
      <w:pPr>
        <w:pStyle w:val="NoSpacing"/>
        <w:ind w:left="426" w:hanging="426"/>
        <w:jc w:val="both"/>
        <w:rPr>
          <w:rFonts w:asciiTheme="minorHAnsi" w:hAnsiTheme="minorHAnsi"/>
          <w:sz w:val="22"/>
          <w:szCs w:val="22"/>
        </w:rPr>
      </w:pPr>
    </w:p>
    <w:p w14:paraId="0F9B8ACA" w14:textId="77777777" w:rsidR="008808C4" w:rsidRDefault="00B25936" w:rsidP="008808C4">
      <w:pPr>
        <w:pStyle w:val="NoSpacing"/>
        <w:numPr>
          <w:ilvl w:val="0"/>
          <w:numId w:val="11"/>
        </w:numPr>
        <w:ind w:left="426" w:hanging="426"/>
        <w:jc w:val="both"/>
        <w:rPr>
          <w:rFonts w:asciiTheme="minorHAnsi" w:hAnsiTheme="minorHAnsi"/>
          <w:sz w:val="22"/>
          <w:szCs w:val="22"/>
        </w:rPr>
      </w:pPr>
      <w:r>
        <w:rPr>
          <w:rFonts w:asciiTheme="minorHAnsi" w:hAnsiTheme="minorHAnsi"/>
          <w:sz w:val="22"/>
          <w:szCs w:val="22"/>
        </w:rPr>
        <w:t>We</w:t>
      </w:r>
      <w:r w:rsidR="00BF3041" w:rsidRPr="00B25936">
        <w:rPr>
          <w:rFonts w:asciiTheme="minorHAnsi" w:hAnsiTheme="minorHAnsi"/>
          <w:sz w:val="22"/>
          <w:szCs w:val="22"/>
        </w:rPr>
        <w:t xml:space="preserve"> welcome the opportunity to respond to this </w:t>
      </w:r>
      <w:r w:rsidR="005D4299">
        <w:rPr>
          <w:rFonts w:asciiTheme="minorHAnsi" w:hAnsiTheme="minorHAnsi"/>
          <w:sz w:val="22"/>
          <w:szCs w:val="22"/>
        </w:rPr>
        <w:t>consultation on Pillar 1</w:t>
      </w:r>
      <w:r w:rsidRPr="00B25936">
        <w:rPr>
          <w:rFonts w:asciiTheme="minorHAnsi" w:hAnsiTheme="minorHAnsi"/>
          <w:bCs/>
          <w:sz w:val="22"/>
          <w:szCs w:val="22"/>
        </w:rPr>
        <w:t xml:space="preserve"> </w:t>
      </w:r>
      <w:r w:rsidR="00BF3041" w:rsidRPr="00B25936">
        <w:rPr>
          <w:rFonts w:asciiTheme="minorHAnsi" w:hAnsiTheme="minorHAnsi"/>
          <w:sz w:val="22"/>
          <w:szCs w:val="22"/>
        </w:rPr>
        <w:t xml:space="preserve">and </w:t>
      </w:r>
      <w:r w:rsidRPr="00B25936">
        <w:rPr>
          <w:rFonts w:asciiTheme="minorHAnsi" w:hAnsiTheme="minorHAnsi"/>
          <w:sz w:val="22"/>
          <w:szCs w:val="22"/>
        </w:rPr>
        <w:t xml:space="preserve">we </w:t>
      </w:r>
      <w:r w:rsidR="005D4299">
        <w:rPr>
          <w:rFonts w:asciiTheme="minorHAnsi" w:hAnsiTheme="minorHAnsi"/>
          <w:sz w:val="22"/>
          <w:szCs w:val="22"/>
        </w:rPr>
        <w:t xml:space="preserve">will also </w:t>
      </w:r>
      <w:r w:rsidR="00D93AF1">
        <w:rPr>
          <w:rFonts w:asciiTheme="minorHAnsi" w:hAnsiTheme="minorHAnsi"/>
          <w:sz w:val="22"/>
          <w:szCs w:val="22"/>
        </w:rPr>
        <w:t>be commenting on the Pillar 2 consultation in due course.</w:t>
      </w:r>
    </w:p>
    <w:p w14:paraId="5D282E43" w14:textId="77777777" w:rsidR="008808C4" w:rsidRDefault="008808C4" w:rsidP="008808C4">
      <w:pPr>
        <w:pStyle w:val="ListParagraph"/>
        <w:rPr>
          <w:rFonts w:ascii="Arial" w:hAnsi="Arial" w:cs="Arial"/>
        </w:rPr>
      </w:pPr>
    </w:p>
    <w:p w14:paraId="27D86D5B" w14:textId="733FCCD1" w:rsidR="008808C4" w:rsidRPr="008808C4" w:rsidRDefault="008808C4" w:rsidP="008808C4">
      <w:pPr>
        <w:pStyle w:val="NoSpacing"/>
        <w:numPr>
          <w:ilvl w:val="0"/>
          <w:numId w:val="11"/>
        </w:numPr>
        <w:ind w:left="426" w:hanging="426"/>
        <w:jc w:val="both"/>
        <w:rPr>
          <w:rFonts w:asciiTheme="minorHAnsi" w:hAnsiTheme="minorHAnsi" w:cstheme="minorHAnsi"/>
          <w:sz w:val="22"/>
          <w:szCs w:val="22"/>
        </w:rPr>
      </w:pPr>
      <w:r w:rsidRPr="008808C4">
        <w:rPr>
          <w:rFonts w:asciiTheme="minorHAnsi" w:hAnsiTheme="minorHAnsi" w:cstheme="minorHAnsi"/>
          <w:sz w:val="22"/>
          <w:szCs w:val="22"/>
        </w:rPr>
        <w:t xml:space="preserve">Feedback from our members indicates that there are not many </w:t>
      </w:r>
      <w:r>
        <w:rPr>
          <w:rFonts w:asciiTheme="minorHAnsi" w:hAnsiTheme="minorHAnsi" w:cstheme="minorHAnsi"/>
          <w:sz w:val="22"/>
          <w:szCs w:val="22"/>
        </w:rPr>
        <w:t xml:space="preserve">UK </w:t>
      </w:r>
      <w:r w:rsidRPr="008808C4">
        <w:rPr>
          <w:rFonts w:asciiTheme="minorHAnsi" w:hAnsiTheme="minorHAnsi" w:cstheme="minorHAnsi"/>
          <w:sz w:val="22"/>
          <w:szCs w:val="22"/>
        </w:rPr>
        <w:t xml:space="preserve">charities that have a substantial primary purpose trade that is carried on overseas. Of those charities to which this applies the number that conduct their international business through the charity rather than one or more subsidiaries is probably limited, particularly if the foreign countries where the charity is operating do not grant it any tax privileges based on its charitable status. However, we are aware that </w:t>
      </w:r>
      <w:r w:rsidR="005D4299" w:rsidRPr="008808C4">
        <w:rPr>
          <w:rFonts w:asciiTheme="minorHAnsi" w:hAnsiTheme="minorHAnsi" w:cstheme="minorHAnsi"/>
          <w:bCs/>
          <w:sz w:val="22"/>
          <w:szCs w:val="22"/>
        </w:rPr>
        <w:t>some charities with global operations could be impacted. As a result, our response makes a number of specific comments, rather than attempting to respond to each question.</w:t>
      </w:r>
      <w:r w:rsidR="00B25936" w:rsidRPr="008808C4">
        <w:rPr>
          <w:rFonts w:asciiTheme="minorHAnsi" w:hAnsiTheme="minorHAnsi" w:cstheme="minorHAnsi"/>
          <w:bCs/>
          <w:sz w:val="22"/>
          <w:szCs w:val="22"/>
        </w:rPr>
        <w:t xml:space="preserve"> </w:t>
      </w:r>
      <w:r w:rsidR="005D4299" w:rsidRPr="008808C4">
        <w:rPr>
          <w:rFonts w:asciiTheme="minorHAnsi" w:hAnsiTheme="minorHAnsi" w:cstheme="minorHAnsi"/>
          <w:bCs/>
          <w:sz w:val="22"/>
          <w:szCs w:val="22"/>
        </w:rPr>
        <w:t>The Charity Tax Group is not directly affected by this proposal, but our comments are informed by feedback from our members</w:t>
      </w:r>
      <w:r w:rsidR="00B40623" w:rsidRPr="008808C4">
        <w:rPr>
          <w:rFonts w:asciiTheme="minorHAnsi" w:hAnsiTheme="minorHAnsi" w:cstheme="minorHAnsi"/>
          <w:bCs/>
          <w:sz w:val="22"/>
          <w:szCs w:val="22"/>
        </w:rPr>
        <w:t xml:space="preserve"> who believe that they are</w:t>
      </w:r>
      <w:r w:rsidRPr="008808C4">
        <w:rPr>
          <w:rFonts w:asciiTheme="minorHAnsi" w:hAnsiTheme="minorHAnsi" w:cstheme="minorHAnsi"/>
          <w:bCs/>
          <w:sz w:val="22"/>
          <w:szCs w:val="22"/>
        </w:rPr>
        <w:t>.</w:t>
      </w:r>
    </w:p>
    <w:p w14:paraId="60567D68" w14:textId="77777777" w:rsidR="005D4299" w:rsidRDefault="005D4299" w:rsidP="005D4299">
      <w:pPr>
        <w:pStyle w:val="ListParagraph"/>
      </w:pPr>
    </w:p>
    <w:p w14:paraId="223F5572" w14:textId="77777777" w:rsidR="008808C4" w:rsidRDefault="00D93AF1" w:rsidP="008808C4">
      <w:pPr>
        <w:pStyle w:val="NoSpacing"/>
        <w:numPr>
          <w:ilvl w:val="0"/>
          <w:numId w:val="11"/>
        </w:numPr>
        <w:ind w:left="426" w:hanging="426"/>
        <w:jc w:val="both"/>
        <w:rPr>
          <w:rFonts w:ascii="Calibri" w:hAnsi="Calibri" w:cs="Calibri"/>
          <w:bCs/>
          <w:sz w:val="22"/>
          <w:szCs w:val="22"/>
        </w:rPr>
      </w:pPr>
      <w:r w:rsidRPr="00D93AF1">
        <w:rPr>
          <w:rFonts w:ascii="Calibri" w:hAnsi="Calibri" w:cs="Calibri"/>
          <w:sz w:val="22"/>
          <w:szCs w:val="22"/>
        </w:rPr>
        <w:t xml:space="preserve">Question </w:t>
      </w:r>
      <w:r w:rsidR="005D4299" w:rsidRPr="00D93AF1">
        <w:rPr>
          <w:rFonts w:ascii="Calibri" w:hAnsi="Calibri" w:cs="Calibri"/>
          <w:sz w:val="22"/>
          <w:szCs w:val="22"/>
        </w:rPr>
        <w:t>1 (e)</w:t>
      </w:r>
      <w:r w:rsidRPr="00D93AF1">
        <w:rPr>
          <w:rFonts w:ascii="Calibri" w:hAnsi="Calibri" w:cs="Calibri"/>
          <w:sz w:val="22"/>
          <w:szCs w:val="22"/>
        </w:rPr>
        <w:t xml:space="preserve"> on the scope of the “Unified Approach” seeks feedback on potential</w:t>
      </w:r>
      <w:r w:rsidR="005D4299" w:rsidRPr="00D93AF1">
        <w:rPr>
          <w:rFonts w:ascii="Calibri" w:hAnsi="Calibri" w:cs="Calibri"/>
          <w:sz w:val="22"/>
          <w:szCs w:val="22"/>
        </w:rPr>
        <w:t xml:space="preserve"> carve outs</w:t>
      </w:r>
      <w:r w:rsidRPr="00D93AF1">
        <w:rPr>
          <w:rFonts w:ascii="Calibri" w:hAnsi="Calibri" w:cs="Calibri"/>
          <w:sz w:val="22"/>
          <w:szCs w:val="22"/>
        </w:rPr>
        <w:t xml:space="preserve"> and how these may be formulated</w:t>
      </w:r>
      <w:r w:rsidR="005D4299" w:rsidRPr="00D93AF1">
        <w:rPr>
          <w:rFonts w:ascii="Calibri" w:hAnsi="Calibri" w:cs="Calibri"/>
          <w:sz w:val="22"/>
          <w:szCs w:val="22"/>
        </w:rPr>
        <w:t>. UK charities can trade globally in pursuit of their charitable objectives. In such a case the UK would be normally be the primary entrepreneurial location and thus be allocated the majority of non-routine profits. Due to the tax exemption that is available for such trading, the charity’s tax charge would be sensitive to reallocations of such profits away from the UK to other jurisdictions where it will generally not benefit from similar domestic exemptions. While charitable exemptions differ around the world, they are generally considered to be in the public interest.  We believe, therefore, that excluding charities from the Pillar 1 requirements would allow such operations to sustain their existing level of activity to the wider benefit of society.</w:t>
      </w:r>
    </w:p>
    <w:p w14:paraId="72BDC469" w14:textId="77777777" w:rsidR="008808C4" w:rsidRDefault="008808C4" w:rsidP="008808C4">
      <w:pPr>
        <w:pStyle w:val="ListParagraph"/>
        <w:rPr>
          <w:rFonts w:asciiTheme="minorHAnsi" w:hAnsiTheme="minorHAnsi" w:cstheme="minorHAnsi"/>
          <w:sz w:val="22"/>
          <w:szCs w:val="22"/>
        </w:rPr>
      </w:pPr>
    </w:p>
    <w:p w14:paraId="17A4EA2F" w14:textId="2138FC9A" w:rsidR="00B40623" w:rsidRPr="008808C4" w:rsidRDefault="005D4299" w:rsidP="008808C4">
      <w:pPr>
        <w:pStyle w:val="NoSpacing"/>
        <w:numPr>
          <w:ilvl w:val="0"/>
          <w:numId w:val="11"/>
        </w:numPr>
        <w:ind w:left="426" w:hanging="426"/>
        <w:jc w:val="both"/>
        <w:rPr>
          <w:rFonts w:ascii="Calibri" w:hAnsi="Calibri" w:cs="Calibri"/>
          <w:bCs/>
          <w:sz w:val="22"/>
          <w:szCs w:val="22"/>
        </w:rPr>
      </w:pPr>
      <w:r w:rsidRPr="008808C4">
        <w:rPr>
          <w:rFonts w:asciiTheme="minorHAnsi" w:hAnsiTheme="minorHAnsi" w:cstheme="minorHAnsi"/>
          <w:sz w:val="22"/>
          <w:szCs w:val="22"/>
        </w:rPr>
        <w:t>In the case that the above general exclusion is not accepted</w:t>
      </w:r>
      <w:r w:rsidR="00B40623" w:rsidRPr="008808C4">
        <w:rPr>
          <w:rFonts w:asciiTheme="minorHAnsi" w:hAnsiTheme="minorHAnsi" w:cstheme="minorHAnsi"/>
          <w:sz w:val="22"/>
          <w:szCs w:val="22"/>
        </w:rPr>
        <w:t>, we have a number of additional observations. In the context of the s</w:t>
      </w:r>
      <w:r w:rsidRPr="008808C4">
        <w:rPr>
          <w:rFonts w:asciiTheme="minorHAnsi" w:hAnsiTheme="minorHAnsi" w:cstheme="minorHAnsi"/>
          <w:sz w:val="22"/>
          <w:szCs w:val="22"/>
        </w:rPr>
        <w:t>cope consumers/users</w:t>
      </w:r>
      <w:r w:rsidR="00B40623" w:rsidRPr="008808C4">
        <w:rPr>
          <w:rFonts w:asciiTheme="minorHAnsi" w:hAnsiTheme="minorHAnsi" w:cstheme="minorHAnsi"/>
          <w:sz w:val="22"/>
          <w:szCs w:val="22"/>
        </w:rPr>
        <w:t xml:space="preserve"> w</w:t>
      </w:r>
      <w:r w:rsidRPr="008808C4">
        <w:rPr>
          <w:rFonts w:asciiTheme="minorHAnsi" w:hAnsiTheme="minorHAnsi" w:cstheme="minorHAnsi"/>
          <w:sz w:val="22"/>
          <w:szCs w:val="22"/>
        </w:rPr>
        <w:t>hil</w:t>
      </w:r>
      <w:r w:rsidR="00B40623" w:rsidRPr="008808C4">
        <w:rPr>
          <w:rFonts w:asciiTheme="minorHAnsi" w:hAnsiTheme="minorHAnsi" w:cstheme="minorHAnsi"/>
          <w:sz w:val="22"/>
          <w:szCs w:val="22"/>
        </w:rPr>
        <w:t xml:space="preserve">e </w:t>
      </w:r>
      <w:r w:rsidRPr="008808C4">
        <w:rPr>
          <w:rFonts w:asciiTheme="minorHAnsi" w:hAnsiTheme="minorHAnsi" w:cstheme="minorHAnsi"/>
          <w:sz w:val="22"/>
          <w:szCs w:val="22"/>
        </w:rPr>
        <w:t>“consumer-facing” is not a defined term in the current consultation, indirect distribution through overseas institutions (e.g. Universities) and governmental organisations (e.g. Departments of Education) is at risk of being so categorised. In our view this should not be considered as “consumer-facing”, and treating it as such would increase the cost of providing public services. Certain educational charities publish academic and educational materials and distribute these worldwide. In our view the advancement of education should not be considered a “consumer-facing” business.</w:t>
      </w:r>
    </w:p>
    <w:p w14:paraId="25A6B230" w14:textId="77777777" w:rsidR="008808C4" w:rsidRDefault="008808C4" w:rsidP="008808C4">
      <w:pPr>
        <w:pStyle w:val="NoSpacing"/>
        <w:spacing w:after="200" w:line="276" w:lineRule="auto"/>
        <w:ind w:left="426"/>
        <w:jc w:val="both"/>
        <w:rPr>
          <w:rFonts w:asciiTheme="minorHAnsi" w:hAnsiTheme="minorHAnsi" w:cstheme="minorHAnsi"/>
          <w:sz w:val="22"/>
          <w:szCs w:val="22"/>
        </w:rPr>
      </w:pPr>
    </w:p>
    <w:p w14:paraId="6A991CB2" w14:textId="7524F3B7" w:rsidR="00B40623" w:rsidRDefault="00B40623" w:rsidP="00B40623">
      <w:pPr>
        <w:pStyle w:val="NoSpacing"/>
        <w:numPr>
          <w:ilvl w:val="0"/>
          <w:numId w:val="11"/>
        </w:numPr>
        <w:spacing w:after="20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In respect of </w:t>
      </w:r>
      <w:r w:rsidR="005D4299" w:rsidRPr="00B40623">
        <w:rPr>
          <w:rFonts w:asciiTheme="minorHAnsi" w:hAnsiTheme="minorHAnsi" w:cstheme="minorHAnsi"/>
          <w:sz w:val="22"/>
          <w:szCs w:val="22"/>
        </w:rPr>
        <w:t>metric</w:t>
      </w:r>
      <w:r>
        <w:rPr>
          <w:rFonts w:asciiTheme="minorHAnsi" w:hAnsiTheme="minorHAnsi" w:cstheme="minorHAnsi"/>
          <w:sz w:val="22"/>
          <w:szCs w:val="22"/>
        </w:rPr>
        <w:t>s</w:t>
      </w:r>
      <w:r w:rsidR="005D4299" w:rsidRPr="00B40623">
        <w:rPr>
          <w:rFonts w:asciiTheme="minorHAnsi" w:hAnsiTheme="minorHAnsi" w:cstheme="minorHAnsi"/>
          <w:sz w:val="22"/>
          <w:szCs w:val="22"/>
        </w:rPr>
        <w:t xml:space="preserve"> for group profi</w:t>
      </w:r>
      <w:r>
        <w:rPr>
          <w:rFonts w:asciiTheme="minorHAnsi" w:hAnsiTheme="minorHAnsi" w:cstheme="minorHAnsi"/>
          <w:sz w:val="22"/>
          <w:szCs w:val="22"/>
        </w:rPr>
        <w:t>t, i</w:t>
      </w:r>
      <w:r w:rsidR="005D4299" w:rsidRPr="00B40623">
        <w:rPr>
          <w:rFonts w:asciiTheme="minorHAnsi" w:hAnsiTheme="minorHAnsi" w:cstheme="minorHAnsi"/>
          <w:sz w:val="22"/>
          <w:szCs w:val="22"/>
        </w:rPr>
        <w:t>n the case of a charity that earns investment returns on its endowments (and also has trading activities) an approach based on consolidated group profit would allocate part of the investment returns to overseas jurisdictions that have no direct nexus with the investment activity. The suggested “business line” calculation should therefore exclude such investment returns from allocation.</w:t>
      </w:r>
    </w:p>
    <w:p w14:paraId="0296C4EB" w14:textId="3E720A25" w:rsidR="005D4299" w:rsidRPr="00B40623" w:rsidRDefault="00B40623" w:rsidP="00B40623">
      <w:pPr>
        <w:pStyle w:val="NoSpacing"/>
        <w:numPr>
          <w:ilvl w:val="0"/>
          <w:numId w:val="11"/>
        </w:numPr>
        <w:spacing w:after="20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Lastly, w</w:t>
      </w:r>
      <w:r w:rsidR="005D4299" w:rsidRPr="00B40623">
        <w:rPr>
          <w:rFonts w:asciiTheme="minorHAnsi" w:hAnsiTheme="minorHAnsi" w:cstheme="minorHAnsi"/>
          <w:sz w:val="22"/>
          <w:szCs w:val="22"/>
        </w:rPr>
        <w:t xml:space="preserve">here simplification measures seek to standardise returns, if this level is set higher than the current return that can be achieved then this would clearly increase tax costs (in the non-exempt scenario), and if set too high it may make certain markets uneconomic to operate in. </w:t>
      </w:r>
    </w:p>
    <w:p w14:paraId="6AC8531E" w14:textId="361D88D4" w:rsidR="00485B45" w:rsidRDefault="00485B45" w:rsidP="00485B45">
      <w:pPr>
        <w:pStyle w:val="NoSpacing"/>
        <w:tabs>
          <w:tab w:val="left" w:pos="426"/>
        </w:tabs>
        <w:rPr>
          <w:rFonts w:asciiTheme="minorHAnsi" w:hAnsiTheme="minorHAnsi"/>
          <w:b/>
          <w:sz w:val="22"/>
          <w:szCs w:val="22"/>
        </w:rPr>
      </w:pPr>
    </w:p>
    <w:p w14:paraId="113F9940" w14:textId="77777777" w:rsidR="005D4299" w:rsidRDefault="005D4299" w:rsidP="00485B45">
      <w:pPr>
        <w:pStyle w:val="NoSpacing"/>
        <w:tabs>
          <w:tab w:val="left" w:pos="426"/>
        </w:tabs>
        <w:rPr>
          <w:rFonts w:asciiTheme="minorHAnsi" w:hAnsiTheme="minorHAnsi"/>
          <w:bCs/>
          <w:sz w:val="22"/>
          <w:szCs w:val="22"/>
        </w:rPr>
      </w:pPr>
    </w:p>
    <w:p w14:paraId="7E3CADF8" w14:textId="3730C14F" w:rsidR="00CE519B" w:rsidRPr="00CE519B" w:rsidRDefault="00CE519B" w:rsidP="00485B45">
      <w:pPr>
        <w:pStyle w:val="NoSpacing"/>
        <w:tabs>
          <w:tab w:val="left" w:pos="426"/>
        </w:tabs>
        <w:rPr>
          <w:rFonts w:asciiTheme="minorHAnsi" w:hAnsiTheme="minorHAnsi"/>
          <w:b/>
        </w:rPr>
      </w:pPr>
      <w:r w:rsidRPr="00CE519B">
        <w:rPr>
          <w:rFonts w:asciiTheme="minorHAnsi" w:hAnsiTheme="minorHAnsi"/>
          <w:b/>
        </w:rPr>
        <w:t>Charity Tax Group</w:t>
      </w:r>
    </w:p>
    <w:p w14:paraId="6474D029" w14:textId="5033A28D" w:rsidR="00CE519B" w:rsidRPr="00B25936" w:rsidRDefault="008808C4" w:rsidP="00485B45">
      <w:pPr>
        <w:pStyle w:val="NoSpacing"/>
        <w:tabs>
          <w:tab w:val="left" w:pos="426"/>
        </w:tabs>
        <w:rPr>
          <w:rFonts w:asciiTheme="minorHAnsi" w:hAnsiTheme="minorHAnsi"/>
          <w:b/>
        </w:rPr>
      </w:pPr>
      <w:r>
        <w:rPr>
          <w:rFonts w:asciiTheme="minorHAnsi" w:hAnsiTheme="minorHAnsi"/>
          <w:b/>
        </w:rPr>
        <w:t>12 November</w:t>
      </w:r>
      <w:r w:rsidR="00CE519B" w:rsidRPr="00CE519B">
        <w:rPr>
          <w:rFonts w:asciiTheme="minorHAnsi" w:hAnsiTheme="minorHAnsi"/>
          <w:b/>
        </w:rPr>
        <w:t xml:space="preserve"> 2019</w:t>
      </w:r>
    </w:p>
    <w:p w14:paraId="00BB8558" w14:textId="2BD3512B" w:rsidR="00B25936" w:rsidRPr="00CE519B" w:rsidRDefault="00B25936" w:rsidP="008529F6">
      <w:pPr>
        <w:pStyle w:val="NoSpacing"/>
        <w:jc w:val="both"/>
        <w:rPr>
          <w:rFonts w:asciiTheme="minorHAnsi" w:hAnsiTheme="minorHAnsi"/>
          <w:b/>
        </w:rPr>
      </w:pPr>
    </w:p>
    <w:p w14:paraId="64DD9EFC" w14:textId="3E2A818F" w:rsidR="00CE519B" w:rsidRPr="00CE519B" w:rsidRDefault="00CE519B" w:rsidP="00CE519B">
      <w:pPr>
        <w:pStyle w:val="NoSpacing"/>
        <w:jc w:val="center"/>
        <w:rPr>
          <w:rFonts w:asciiTheme="minorHAnsi" w:hAnsiTheme="minorHAnsi"/>
          <w:b/>
          <w:i/>
          <w:iCs/>
        </w:rPr>
      </w:pPr>
      <w:r w:rsidRPr="00CE519B">
        <w:rPr>
          <w:rFonts w:asciiTheme="minorHAnsi" w:hAnsiTheme="minorHAnsi"/>
          <w:b/>
          <w:i/>
          <w:iCs/>
        </w:rPr>
        <w:t xml:space="preserve">To discuss any of these responses in further detail please contact 02072221265 or </w:t>
      </w:r>
      <w:hyperlink r:id="rId7" w:history="1">
        <w:r w:rsidRPr="00CE519B">
          <w:rPr>
            <w:rStyle w:val="Hyperlink"/>
            <w:rFonts w:asciiTheme="minorHAnsi" w:hAnsiTheme="minorHAnsi"/>
            <w:b/>
            <w:i/>
            <w:iCs/>
          </w:rPr>
          <w:t>info@charitytaxgroup.org.uk</w:t>
        </w:r>
      </w:hyperlink>
    </w:p>
    <w:sectPr w:rsidR="00CE519B" w:rsidRPr="00CE519B" w:rsidSect="00CB1B1B">
      <w:headerReference w:type="default" r:id="rId8"/>
      <w:footerReference w:type="default" r:id="rId9"/>
      <w:headerReference w:type="first" r:id="rId10"/>
      <w:footerReference w:type="first" r:id="rId11"/>
      <w:type w:val="continuous"/>
      <w:pgSz w:w="11906" w:h="16838" w:code="9"/>
      <w:pgMar w:top="2410" w:right="1274" w:bottom="2268"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0F2E" w14:textId="77777777" w:rsidR="00436F19" w:rsidRDefault="00436F19" w:rsidP="009F75C0">
      <w:r>
        <w:separator/>
      </w:r>
    </w:p>
  </w:endnote>
  <w:endnote w:type="continuationSeparator" w:id="0">
    <w:p w14:paraId="332B24AF" w14:textId="77777777" w:rsidR="00436F19" w:rsidRDefault="00436F19" w:rsidP="009F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Times New Roman"/>
    <w:panose1 w:val="00000000000000000000"/>
    <w:charset w:val="00"/>
    <w:family w:val="roman"/>
    <w:notTrueType/>
    <w:pitch w:val="default"/>
    <w:sig w:usb0="00000003" w:usb1="00000000" w:usb2="00000000" w:usb3="00000000" w:csb0="00000001" w:csb1="00000000"/>
  </w:font>
  <w:font w:name="Lato">
    <w:altName w:val="Calibri"/>
    <w:charset w:val="00"/>
    <w:family w:val="auto"/>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0555" w14:textId="77777777" w:rsidR="00E804B6" w:rsidRPr="00E804B6" w:rsidRDefault="00E804B6" w:rsidP="00E804B6">
    <w:pPr>
      <w:pStyle w:val="Footer"/>
      <w:jc w:val="center"/>
      <w:rPr>
        <w:rFonts w:ascii="Calibri" w:hAnsi="Calibri"/>
        <w:sz w:val="22"/>
        <w:szCs w:val="22"/>
      </w:rPr>
    </w:pPr>
    <w:r w:rsidRPr="00E804B6">
      <w:rPr>
        <w:rFonts w:ascii="Calibri" w:hAnsi="Calibri"/>
        <w:sz w:val="22"/>
        <w:szCs w:val="22"/>
      </w:rPr>
      <w:fldChar w:fldCharType="begin"/>
    </w:r>
    <w:r w:rsidRPr="00E804B6">
      <w:rPr>
        <w:rFonts w:ascii="Calibri" w:hAnsi="Calibri"/>
        <w:sz w:val="22"/>
        <w:szCs w:val="22"/>
      </w:rPr>
      <w:instrText xml:space="preserve"> PAGE   \* MERGEFORMAT </w:instrText>
    </w:r>
    <w:r w:rsidRPr="00E804B6">
      <w:rPr>
        <w:rFonts w:ascii="Calibri" w:hAnsi="Calibri"/>
        <w:sz w:val="22"/>
        <w:szCs w:val="22"/>
      </w:rPr>
      <w:fldChar w:fldCharType="separate"/>
    </w:r>
    <w:r w:rsidRPr="00E804B6">
      <w:rPr>
        <w:rFonts w:ascii="Calibri" w:hAnsi="Calibri"/>
        <w:noProof/>
        <w:sz w:val="22"/>
        <w:szCs w:val="22"/>
      </w:rPr>
      <w:t>2</w:t>
    </w:r>
    <w:r w:rsidRPr="00E804B6">
      <w:rPr>
        <w:rFonts w:ascii="Calibri" w:hAnsi="Calibri"/>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A856" w14:textId="77777777" w:rsidR="00F74175" w:rsidRDefault="007C6E12" w:rsidP="009F75C0">
    <w:pPr>
      <w:pStyle w:val="Footer"/>
    </w:pPr>
    <w:r>
      <w:rPr>
        <w:noProof/>
        <w:lang w:eastAsia="en-GB"/>
      </w:rPr>
      <w:drawing>
        <wp:anchor distT="0" distB="0" distL="114300" distR="114300" simplePos="0" relativeHeight="251656704" behindDoc="0" locked="0" layoutInCell="1" allowOverlap="1" wp14:anchorId="29F73465" wp14:editId="0BA1BD78">
          <wp:simplePos x="0" y="0"/>
          <wp:positionH relativeFrom="page">
            <wp:posOffset>0</wp:posOffset>
          </wp:positionH>
          <wp:positionV relativeFrom="page">
            <wp:posOffset>9112250</wp:posOffset>
          </wp:positionV>
          <wp:extent cx="7581900" cy="1558925"/>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8925"/>
                  </a:xfrm>
                  <a:prstGeom prst="rect">
                    <a:avLst/>
                  </a:prstGeom>
                  <a:noFill/>
                </pic:spPr>
              </pic:pic>
            </a:graphicData>
          </a:graphic>
          <wp14:sizeRelH relativeFrom="margin">
            <wp14:pctWidth>0</wp14:pctWidth>
          </wp14:sizeRelH>
          <wp14:sizeRelV relativeFrom="margin">
            <wp14:pctHeight>0</wp14:pctHeight>
          </wp14:sizeRelV>
        </wp:anchor>
      </w:drawing>
    </w:r>
  </w:p>
  <w:p w14:paraId="65A2A370" w14:textId="77777777" w:rsidR="00E804B6" w:rsidRDefault="00E804B6" w:rsidP="009F75C0">
    <w:pPr>
      <w:pStyle w:val="Footer"/>
    </w:pPr>
  </w:p>
  <w:p w14:paraId="2B64E25F" w14:textId="77777777" w:rsidR="00E804B6" w:rsidRDefault="00E804B6" w:rsidP="009F75C0">
    <w:pPr>
      <w:pStyle w:val="Footer"/>
    </w:pPr>
  </w:p>
  <w:p w14:paraId="584D1274" w14:textId="77777777" w:rsidR="00E804B6" w:rsidRDefault="00E804B6" w:rsidP="009F75C0">
    <w:pPr>
      <w:pStyle w:val="Footer"/>
    </w:pPr>
  </w:p>
  <w:p w14:paraId="1FC9D1F8" w14:textId="77777777" w:rsidR="00E804B6" w:rsidRDefault="00E804B6" w:rsidP="009F75C0">
    <w:pPr>
      <w:pStyle w:val="Footer"/>
    </w:pPr>
  </w:p>
  <w:p w14:paraId="1C88EB2A" w14:textId="77777777" w:rsidR="00E804B6" w:rsidRDefault="00E804B6" w:rsidP="009F75C0">
    <w:pPr>
      <w:pStyle w:val="Footer"/>
    </w:pPr>
  </w:p>
  <w:p w14:paraId="4BB27C74" w14:textId="77777777" w:rsidR="00E804B6" w:rsidRDefault="00E804B6" w:rsidP="009F75C0">
    <w:pPr>
      <w:pStyle w:val="Footer"/>
    </w:pPr>
  </w:p>
  <w:p w14:paraId="195D51F3" w14:textId="77777777" w:rsidR="00E804B6" w:rsidRDefault="00E804B6" w:rsidP="009F75C0">
    <w:pPr>
      <w:pStyle w:val="Footer"/>
    </w:pPr>
  </w:p>
  <w:p w14:paraId="2C1D88A8" w14:textId="77777777" w:rsidR="00E804B6" w:rsidRDefault="00E804B6" w:rsidP="009F7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CACE5" w14:textId="77777777" w:rsidR="00436F19" w:rsidRDefault="00436F19" w:rsidP="009F75C0">
      <w:r>
        <w:separator/>
      </w:r>
    </w:p>
  </w:footnote>
  <w:footnote w:type="continuationSeparator" w:id="0">
    <w:p w14:paraId="7900E694" w14:textId="77777777" w:rsidR="00436F19" w:rsidRDefault="00436F19" w:rsidP="009F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FC35" w14:textId="77777777" w:rsidR="002A6C5B" w:rsidRDefault="007C6E12">
    <w:pPr>
      <w:pStyle w:val="Header"/>
    </w:pPr>
    <w:r>
      <w:rPr>
        <w:noProof/>
        <w:lang w:eastAsia="en-GB"/>
      </w:rPr>
      <w:drawing>
        <wp:anchor distT="0" distB="0" distL="114300" distR="114300" simplePos="0" relativeHeight="251658752" behindDoc="1" locked="1" layoutInCell="1" allowOverlap="1" wp14:anchorId="53E1F3B1" wp14:editId="1E4EAEEF">
          <wp:simplePos x="0" y="0"/>
          <wp:positionH relativeFrom="page">
            <wp:posOffset>0</wp:posOffset>
          </wp:positionH>
          <wp:positionV relativeFrom="page">
            <wp:posOffset>0</wp:posOffset>
          </wp:positionV>
          <wp:extent cx="7571105" cy="1483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D4CFD" w14:textId="77777777" w:rsidR="00F74175" w:rsidRDefault="007C6E12" w:rsidP="009F75C0">
    <w:pPr>
      <w:pStyle w:val="Header"/>
    </w:pPr>
    <w:r>
      <w:rPr>
        <w:noProof/>
        <w:lang w:eastAsia="en-GB"/>
      </w:rPr>
      <w:drawing>
        <wp:anchor distT="0" distB="0" distL="114300" distR="114300" simplePos="0" relativeHeight="251657728" behindDoc="1" locked="1" layoutInCell="1" allowOverlap="1" wp14:anchorId="4B99D44D" wp14:editId="677260C4">
          <wp:simplePos x="0" y="0"/>
          <wp:positionH relativeFrom="page">
            <wp:posOffset>0</wp:posOffset>
          </wp:positionH>
          <wp:positionV relativeFrom="page">
            <wp:posOffset>0</wp:posOffset>
          </wp:positionV>
          <wp:extent cx="7571105" cy="148336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48336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6A96"/>
    <w:multiLevelType w:val="hybridMultilevel"/>
    <w:tmpl w:val="720E09EE"/>
    <w:lvl w:ilvl="0" w:tplc="26E0DD56">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4B21"/>
    <w:multiLevelType w:val="hybridMultilevel"/>
    <w:tmpl w:val="0CBAB7D6"/>
    <w:lvl w:ilvl="0" w:tplc="D9A8B84A">
      <w:start w:val="1"/>
      <w:numFmt w:val="decimal"/>
      <w:lvlText w:val="%1."/>
      <w:lvlJc w:val="left"/>
      <w:pPr>
        <w:ind w:left="1080" w:hanging="360"/>
      </w:pPr>
      <w:rPr>
        <w:rFonts w:asciiTheme="minorHAnsi" w:hAnsiTheme="minorHAnsi" w:hint="default"/>
        <w:b w:val="0"/>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8D92814"/>
    <w:multiLevelType w:val="hybridMultilevel"/>
    <w:tmpl w:val="74E04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3498E"/>
    <w:multiLevelType w:val="hybridMultilevel"/>
    <w:tmpl w:val="35FEC2EE"/>
    <w:lvl w:ilvl="0" w:tplc="38849F8E">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DB5D67"/>
    <w:multiLevelType w:val="hybridMultilevel"/>
    <w:tmpl w:val="FAA2E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E2B03CE"/>
    <w:multiLevelType w:val="hybridMultilevel"/>
    <w:tmpl w:val="4DA4E22C"/>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20480"/>
    <w:multiLevelType w:val="hybridMultilevel"/>
    <w:tmpl w:val="C2248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1F113A"/>
    <w:multiLevelType w:val="hybridMultilevel"/>
    <w:tmpl w:val="085040A2"/>
    <w:lvl w:ilvl="0" w:tplc="ECECD16A">
      <w:start w:val="1"/>
      <w:numFmt w:val="bullet"/>
      <w:lvlText w:val=""/>
      <w:lvlJc w:val="left"/>
      <w:pPr>
        <w:ind w:left="720" w:hanging="360"/>
      </w:pPr>
      <w:rPr>
        <w:rFonts w:ascii="Wingdings" w:hAnsi="Wingdings" w:hint="default"/>
        <w:color w:val="00B3E4"/>
        <w:position w:val="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D0044E"/>
    <w:multiLevelType w:val="hybridMultilevel"/>
    <w:tmpl w:val="8C5E8160"/>
    <w:lvl w:ilvl="0" w:tplc="38849F8E">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E15CF"/>
    <w:multiLevelType w:val="hybridMultilevel"/>
    <w:tmpl w:val="A272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A61C41"/>
    <w:multiLevelType w:val="hybridMultilevel"/>
    <w:tmpl w:val="563A5C52"/>
    <w:lvl w:ilvl="0" w:tplc="38849F8E">
      <w:start w:val="1"/>
      <w:numFmt w:val="decimal"/>
      <w:lvlText w:val="%1."/>
      <w:lvlJc w:val="left"/>
      <w:pPr>
        <w:ind w:left="720" w:hanging="360"/>
      </w:pPr>
      <w:rPr>
        <w:rFonts w:asciiTheme="minorHAnsi" w:hAnsiTheme="minorHAnsi"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D4509"/>
    <w:multiLevelType w:val="hybridMultilevel"/>
    <w:tmpl w:val="400EABB4"/>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C2930"/>
    <w:multiLevelType w:val="hybridMultilevel"/>
    <w:tmpl w:val="4BDA76FA"/>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31086"/>
    <w:multiLevelType w:val="hybridMultilevel"/>
    <w:tmpl w:val="549C3C2C"/>
    <w:lvl w:ilvl="0" w:tplc="08090005">
      <w:start w:val="1"/>
      <w:numFmt w:val="bullet"/>
      <w:lvlText w:val=""/>
      <w:lvlJc w:val="left"/>
      <w:pPr>
        <w:ind w:left="720" w:hanging="360"/>
      </w:pPr>
      <w:rPr>
        <w:rFonts w:ascii="Wingdings" w:hAnsi="Wingdings"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96340"/>
    <w:multiLevelType w:val="hybridMultilevel"/>
    <w:tmpl w:val="D4DEE112"/>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927BD"/>
    <w:multiLevelType w:val="hybridMultilevel"/>
    <w:tmpl w:val="5B3A57F8"/>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FE2755"/>
    <w:multiLevelType w:val="hybridMultilevel"/>
    <w:tmpl w:val="3D5C632C"/>
    <w:lvl w:ilvl="0" w:tplc="26E0DD56">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A3C2B"/>
    <w:multiLevelType w:val="hybridMultilevel"/>
    <w:tmpl w:val="1EF6424C"/>
    <w:lvl w:ilvl="0" w:tplc="C56C4078">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30EFD"/>
    <w:multiLevelType w:val="hybridMultilevel"/>
    <w:tmpl w:val="45FE6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4335EC"/>
    <w:multiLevelType w:val="hybridMultilevel"/>
    <w:tmpl w:val="1AEEA2CA"/>
    <w:lvl w:ilvl="0" w:tplc="B4BCFDF4">
      <w:start w:val="1"/>
      <w:numFmt w:val="bullet"/>
      <w:lvlText w:val=""/>
      <w:lvlJc w:val="left"/>
      <w:pPr>
        <w:ind w:left="720" w:hanging="360"/>
      </w:pPr>
      <w:rPr>
        <w:rFonts w:ascii="Symbol" w:hAnsi="Symbol" w:hint="default"/>
        <w:position w:val="2"/>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33B77"/>
    <w:multiLevelType w:val="hybridMultilevel"/>
    <w:tmpl w:val="C01A5BC8"/>
    <w:lvl w:ilvl="0" w:tplc="7AFC71E2">
      <w:start w:val="1"/>
      <w:numFmt w:val="bullet"/>
      <w:lvlText w:val=""/>
      <w:lvlJc w:val="left"/>
      <w:pPr>
        <w:ind w:left="0" w:hanging="360"/>
      </w:pPr>
      <w:rPr>
        <w:rFonts w:ascii="Wingdings" w:hAnsi="Wingdings" w:hint="default"/>
        <w:color w:val="00B3E4"/>
        <w:position w:val="2"/>
        <w:sz w:val="28"/>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40ED7D18"/>
    <w:multiLevelType w:val="hybridMultilevel"/>
    <w:tmpl w:val="9EDAB7D2"/>
    <w:lvl w:ilvl="0" w:tplc="725EECC2">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246FA"/>
    <w:multiLevelType w:val="multilevel"/>
    <w:tmpl w:val="3F04DD9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4C947F1D"/>
    <w:multiLevelType w:val="hybridMultilevel"/>
    <w:tmpl w:val="A9B067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B73793"/>
    <w:multiLevelType w:val="hybridMultilevel"/>
    <w:tmpl w:val="737CD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8B30859"/>
    <w:multiLevelType w:val="hybridMultilevel"/>
    <w:tmpl w:val="17101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B8E1D46"/>
    <w:multiLevelType w:val="hybridMultilevel"/>
    <w:tmpl w:val="967A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7E2CAD"/>
    <w:multiLevelType w:val="hybridMultilevel"/>
    <w:tmpl w:val="50622D74"/>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56FFF"/>
    <w:multiLevelType w:val="hybridMultilevel"/>
    <w:tmpl w:val="B74EAAD8"/>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A13AF0"/>
    <w:multiLevelType w:val="hybridMultilevel"/>
    <w:tmpl w:val="96CEE1CA"/>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B7062F"/>
    <w:multiLevelType w:val="hybridMultilevel"/>
    <w:tmpl w:val="AFD073D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755D4D9D"/>
    <w:multiLevelType w:val="hybridMultilevel"/>
    <w:tmpl w:val="18A49A22"/>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A21CF"/>
    <w:multiLevelType w:val="hybridMultilevel"/>
    <w:tmpl w:val="7DCA291A"/>
    <w:lvl w:ilvl="0" w:tplc="14880840">
      <w:start w:val="1"/>
      <w:numFmt w:val="bullet"/>
      <w:lvlText w:val=""/>
      <w:lvlJc w:val="left"/>
      <w:pPr>
        <w:ind w:left="720" w:hanging="360"/>
      </w:pPr>
      <w:rPr>
        <w:rFonts w:ascii="Wingdings" w:hAnsi="Wingdings" w:hint="default"/>
        <w:color w:val="00B3E4"/>
        <w:position w:val="2"/>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F20C2"/>
    <w:multiLevelType w:val="hybridMultilevel"/>
    <w:tmpl w:val="FB28C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92422C5"/>
    <w:multiLevelType w:val="hybridMultilevel"/>
    <w:tmpl w:val="11949FEA"/>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D03C92"/>
    <w:multiLevelType w:val="hybridMultilevel"/>
    <w:tmpl w:val="9726194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D253BD6"/>
    <w:multiLevelType w:val="hybridMultilevel"/>
    <w:tmpl w:val="8E9C8580"/>
    <w:lvl w:ilvl="0" w:tplc="D9A8B84A">
      <w:start w:val="1"/>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C771A3"/>
    <w:multiLevelType w:val="hybridMultilevel"/>
    <w:tmpl w:val="A1DCECB2"/>
    <w:lvl w:ilvl="0" w:tplc="CEBC989C">
      <w:start w:val="39"/>
      <w:numFmt w:val="decimal"/>
      <w:lvlText w:val="%1."/>
      <w:lvlJc w:val="left"/>
      <w:pPr>
        <w:ind w:left="720" w:hanging="360"/>
      </w:pPr>
      <w:rPr>
        <w:rFonts w:asciiTheme="minorHAnsi" w:hAnsiTheme="minorHAnsi"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9"/>
    <w:lvlOverride w:ilvl="0">
      <w:startOverride w:val="1"/>
    </w:lvlOverride>
  </w:num>
  <w:num w:numId="5">
    <w:abstractNumId w:val="13"/>
  </w:num>
  <w:num w:numId="6">
    <w:abstractNumId w:val="7"/>
  </w:num>
  <w:num w:numId="7">
    <w:abstractNumId w:val="32"/>
  </w:num>
  <w:num w:numId="8">
    <w:abstractNumId w:val="20"/>
  </w:num>
  <w:num w:numId="9">
    <w:abstractNumId w:val="26"/>
  </w:num>
  <w:num w:numId="10">
    <w:abstractNumId w:val="21"/>
  </w:num>
  <w:num w:numId="11">
    <w:abstractNumId w:val="10"/>
  </w:num>
  <w:num w:numId="12">
    <w:abstractNumId w:val="9"/>
  </w:num>
  <w:num w:numId="13">
    <w:abstractNumId w:val="23"/>
  </w:num>
  <w:num w:numId="14">
    <w:abstractNumId w:val="17"/>
  </w:num>
  <w:num w:numId="15">
    <w:abstractNumId w:val="24"/>
  </w:num>
  <w:num w:numId="16">
    <w:abstractNumId w:val="22"/>
  </w:num>
  <w:num w:numId="17">
    <w:abstractNumId w:val="18"/>
  </w:num>
  <w:num w:numId="18">
    <w:abstractNumId w:val="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15"/>
  </w:num>
  <w:num w:numId="25">
    <w:abstractNumId w:val="34"/>
  </w:num>
  <w:num w:numId="26">
    <w:abstractNumId w:val="36"/>
  </w:num>
  <w:num w:numId="27">
    <w:abstractNumId w:val="5"/>
  </w:num>
  <w:num w:numId="28">
    <w:abstractNumId w:val="30"/>
  </w:num>
  <w:num w:numId="29">
    <w:abstractNumId w:val="1"/>
  </w:num>
  <w:num w:numId="30">
    <w:abstractNumId w:val="28"/>
  </w:num>
  <w:num w:numId="31">
    <w:abstractNumId w:val="8"/>
  </w:num>
  <w:num w:numId="32">
    <w:abstractNumId w:val="3"/>
  </w:num>
  <w:num w:numId="33">
    <w:abstractNumId w:val="35"/>
  </w:num>
  <w:num w:numId="34">
    <w:abstractNumId w:val="14"/>
  </w:num>
  <w:num w:numId="35">
    <w:abstractNumId w:val="31"/>
  </w:num>
  <w:num w:numId="36">
    <w:abstractNumId w:val="0"/>
  </w:num>
  <w:num w:numId="37">
    <w:abstractNumId w:val="16"/>
  </w:num>
  <w:num w:numId="38">
    <w:abstractNumId w:val="12"/>
  </w:num>
  <w:num w:numId="39">
    <w:abstractNumId w:val="27"/>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F19"/>
    <w:rsid w:val="00045A73"/>
    <w:rsid w:val="00062606"/>
    <w:rsid w:val="00091F09"/>
    <w:rsid w:val="000B5C21"/>
    <w:rsid w:val="00101285"/>
    <w:rsid w:val="00172711"/>
    <w:rsid w:val="00187A6D"/>
    <w:rsid w:val="00193AD6"/>
    <w:rsid w:val="001C5EA9"/>
    <w:rsid w:val="001E12CE"/>
    <w:rsid w:val="00200170"/>
    <w:rsid w:val="002017AE"/>
    <w:rsid w:val="00255920"/>
    <w:rsid w:val="002A6C5B"/>
    <w:rsid w:val="002B441C"/>
    <w:rsid w:val="002E199D"/>
    <w:rsid w:val="00306D8D"/>
    <w:rsid w:val="00345831"/>
    <w:rsid w:val="003B43DF"/>
    <w:rsid w:val="003C5769"/>
    <w:rsid w:val="003E0045"/>
    <w:rsid w:val="00436F19"/>
    <w:rsid w:val="00485B45"/>
    <w:rsid w:val="004E641A"/>
    <w:rsid w:val="00542D5A"/>
    <w:rsid w:val="0055740D"/>
    <w:rsid w:val="00573CD2"/>
    <w:rsid w:val="005973A1"/>
    <w:rsid w:val="005D4299"/>
    <w:rsid w:val="00637848"/>
    <w:rsid w:val="00652CB6"/>
    <w:rsid w:val="00663EE4"/>
    <w:rsid w:val="00667C1C"/>
    <w:rsid w:val="0069474F"/>
    <w:rsid w:val="006A4257"/>
    <w:rsid w:val="006E285F"/>
    <w:rsid w:val="006E6C0E"/>
    <w:rsid w:val="006F4D17"/>
    <w:rsid w:val="00704ED4"/>
    <w:rsid w:val="00732B22"/>
    <w:rsid w:val="00756EDD"/>
    <w:rsid w:val="0077214B"/>
    <w:rsid w:val="00786B59"/>
    <w:rsid w:val="00792A25"/>
    <w:rsid w:val="00797274"/>
    <w:rsid w:val="007A2664"/>
    <w:rsid w:val="007C6E12"/>
    <w:rsid w:val="00830E81"/>
    <w:rsid w:val="008529F6"/>
    <w:rsid w:val="008805D4"/>
    <w:rsid w:val="008808C4"/>
    <w:rsid w:val="008837F7"/>
    <w:rsid w:val="008B11E7"/>
    <w:rsid w:val="008E1AD5"/>
    <w:rsid w:val="008E54D4"/>
    <w:rsid w:val="00901459"/>
    <w:rsid w:val="00902476"/>
    <w:rsid w:val="00917A5B"/>
    <w:rsid w:val="00954CDA"/>
    <w:rsid w:val="009A541D"/>
    <w:rsid w:val="009E08A4"/>
    <w:rsid w:val="009E7CF7"/>
    <w:rsid w:val="009F75C0"/>
    <w:rsid w:val="00A03F36"/>
    <w:rsid w:val="00A113E2"/>
    <w:rsid w:val="00A250B3"/>
    <w:rsid w:val="00A36CF0"/>
    <w:rsid w:val="00A5249E"/>
    <w:rsid w:val="00A64D78"/>
    <w:rsid w:val="00AA4156"/>
    <w:rsid w:val="00AC6316"/>
    <w:rsid w:val="00AF0EFA"/>
    <w:rsid w:val="00AF7197"/>
    <w:rsid w:val="00B25936"/>
    <w:rsid w:val="00B264EB"/>
    <w:rsid w:val="00B40623"/>
    <w:rsid w:val="00BA1E47"/>
    <w:rsid w:val="00BF3041"/>
    <w:rsid w:val="00C054D4"/>
    <w:rsid w:val="00C444FE"/>
    <w:rsid w:val="00C65352"/>
    <w:rsid w:val="00C83655"/>
    <w:rsid w:val="00CA172D"/>
    <w:rsid w:val="00CB1B1B"/>
    <w:rsid w:val="00CB713F"/>
    <w:rsid w:val="00CD2644"/>
    <w:rsid w:val="00CD307B"/>
    <w:rsid w:val="00CD7473"/>
    <w:rsid w:val="00CE519B"/>
    <w:rsid w:val="00D13C06"/>
    <w:rsid w:val="00D42717"/>
    <w:rsid w:val="00D67836"/>
    <w:rsid w:val="00D93AF1"/>
    <w:rsid w:val="00DC6B5A"/>
    <w:rsid w:val="00DE541F"/>
    <w:rsid w:val="00DF22DB"/>
    <w:rsid w:val="00E02DA7"/>
    <w:rsid w:val="00E32F4D"/>
    <w:rsid w:val="00E61F23"/>
    <w:rsid w:val="00E804B6"/>
    <w:rsid w:val="00E93D5B"/>
    <w:rsid w:val="00F245F6"/>
    <w:rsid w:val="00F74175"/>
    <w:rsid w:val="00FD1A32"/>
    <w:rsid w:val="00FD40CE"/>
    <w:rsid w:val="00FD4133"/>
    <w:rsid w:val="00FD6A6B"/>
    <w:rsid w:val="00FF218A"/>
    <w:rsid w:val="00FF7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70AAD4"/>
  <w15:chartTrackingRefBased/>
  <w15:docId w15:val="{74B1F83C-851E-4494-A1BB-B7526BA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C0"/>
    <w:pPr>
      <w:spacing w:line="260" w:lineRule="exact"/>
    </w:pPr>
    <w:rPr>
      <w:rFonts w:ascii="Lato Light" w:hAnsi="Lato Light"/>
      <w:sz w:val="18"/>
      <w:szCs w:val="18"/>
      <w:lang w:eastAsia="en-US"/>
    </w:rPr>
  </w:style>
  <w:style w:type="paragraph" w:styleId="Heading1">
    <w:name w:val="heading 1"/>
    <w:aliases w:val="Reference"/>
    <w:basedOn w:val="Normal"/>
    <w:next w:val="Normal"/>
    <w:link w:val="Heading1Char"/>
    <w:uiPriority w:val="9"/>
    <w:qFormat/>
    <w:rsid w:val="00756EDD"/>
    <w:pPr>
      <w:keepNext/>
      <w:keepLines/>
      <w:outlineLvl w:val="0"/>
    </w:pPr>
    <w:rPr>
      <w:rFonts w:ascii="Lato" w:eastAsia="Times New Roman" w:hAnsi="Lato"/>
      <w:color w:val="000000"/>
      <w:sz w:val="20"/>
      <w:szCs w:val="20"/>
    </w:rPr>
  </w:style>
  <w:style w:type="paragraph" w:styleId="Heading2">
    <w:name w:val="heading 2"/>
    <w:basedOn w:val="Normal"/>
    <w:next w:val="Normal"/>
    <w:link w:val="Heading2Char"/>
    <w:uiPriority w:val="9"/>
    <w:qFormat/>
    <w:rsid w:val="00756EDD"/>
    <w:pPr>
      <w:outlineLvl w:val="1"/>
    </w:pPr>
    <w:rPr>
      <w:rFonts w:ascii="Lato" w:hAnsi="Lato"/>
      <w:i/>
      <w:sz w:val="20"/>
      <w:szCs w:val="20"/>
    </w:rPr>
  </w:style>
  <w:style w:type="paragraph" w:styleId="Heading3">
    <w:name w:val="heading 3"/>
    <w:basedOn w:val="Normal"/>
    <w:next w:val="Normal"/>
    <w:link w:val="Heading3Char"/>
    <w:uiPriority w:val="9"/>
    <w:qFormat/>
    <w:rsid w:val="00756EDD"/>
    <w:pPr>
      <w:outlineLvl w:val="2"/>
    </w:pPr>
    <w:rPr>
      <w:rFonts w:ascii="Lato" w:hAnsi="La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4D4"/>
    <w:pPr>
      <w:tabs>
        <w:tab w:val="center" w:pos="4513"/>
        <w:tab w:val="right" w:pos="9026"/>
      </w:tabs>
      <w:spacing w:line="240" w:lineRule="auto"/>
    </w:pPr>
  </w:style>
  <w:style w:type="character" w:customStyle="1" w:styleId="HeaderChar">
    <w:name w:val="Header Char"/>
    <w:basedOn w:val="DefaultParagraphFont"/>
    <w:link w:val="Header"/>
    <w:uiPriority w:val="99"/>
    <w:rsid w:val="00C054D4"/>
  </w:style>
  <w:style w:type="paragraph" w:styleId="Footer">
    <w:name w:val="footer"/>
    <w:basedOn w:val="Normal"/>
    <w:link w:val="FooterChar"/>
    <w:uiPriority w:val="99"/>
    <w:unhideWhenUsed/>
    <w:rsid w:val="00C054D4"/>
    <w:pPr>
      <w:tabs>
        <w:tab w:val="center" w:pos="4513"/>
        <w:tab w:val="right" w:pos="9026"/>
      </w:tabs>
      <w:spacing w:line="240" w:lineRule="auto"/>
    </w:pPr>
  </w:style>
  <w:style w:type="character" w:customStyle="1" w:styleId="FooterChar">
    <w:name w:val="Footer Char"/>
    <w:basedOn w:val="DefaultParagraphFont"/>
    <w:link w:val="Footer"/>
    <w:uiPriority w:val="99"/>
    <w:rsid w:val="00C054D4"/>
  </w:style>
  <w:style w:type="character" w:customStyle="1" w:styleId="Heading1Char">
    <w:name w:val="Heading 1 Char"/>
    <w:aliases w:val="Reference Char"/>
    <w:link w:val="Heading1"/>
    <w:uiPriority w:val="9"/>
    <w:rsid w:val="00756EDD"/>
    <w:rPr>
      <w:rFonts w:ascii="Lato" w:eastAsia="Times New Roman" w:hAnsi="Lato" w:cs="Times New Roman"/>
      <w:color w:val="000000"/>
      <w:sz w:val="20"/>
      <w:szCs w:val="20"/>
    </w:rPr>
  </w:style>
  <w:style w:type="paragraph" w:styleId="ListParagraph">
    <w:name w:val="List Paragraph"/>
    <w:basedOn w:val="Normal"/>
    <w:uiPriority w:val="34"/>
    <w:qFormat/>
    <w:rsid w:val="00D67836"/>
    <w:pPr>
      <w:ind w:left="720"/>
      <w:contextualSpacing/>
    </w:pPr>
  </w:style>
  <w:style w:type="paragraph" w:customStyle="1" w:styleId="Bullet">
    <w:name w:val="Bullet"/>
    <w:basedOn w:val="ListParagraph"/>
    <w:autoRedefine/>
    <w:rsid w:val="002A6C5B"/>
    <w:pPr>
      <w:numPr>
        <w:numId w:val="10"/>
      </w:numPr>
    </w:pPr>
    <w:rPr>
      <w:rFonts w:ascii="Calibri" w:hAnsi="Calibri"/>
      <w:color w:val="000000"/>
      <w:position w:val="6"/>
      <w:sz w:val="22"/>
    </w:rPr>
  </w:style>
  <w:style w:type="character" w:customStyle="1" w:styleId="Heading2Char">
    <w:name w:val="Heading 2 Char"/>
    <w:link w:val="Heading2"/>
    <w:uiPriority w:val="9"/>
    <w:rsid w:val="00756EDD"/>
    <w:rPr>
      <w:rFonts w:ascii="Lato" w:hAnsi="Lato"/>
      <w:i/>
      <w:sz w:val="20"/>
      <w:szCs w:val="20"/>
    </w:rPr>
  </w:style>
  <w:style w:type="character" w:customStyle="1" w:styleId="Heading3Char">
    <w:name w:val="Heading 3 Char"/>
    <w:link w:val="Heading3"/>
    <w:uiPriority w:val="9"/>
    <w:rsid w:val="00756EDD"/>
    <w:rPr>
      <w:rFonts w:ascii="Lato" w:hAnsi="Lato"/>
      <w:sz w:val="18"/>
      <w:szCs w:val="18"/>
    </w:rPr>
  </w:style>
  <w:style w:type="paragraph" w:styleId="NoSpacing">
    <w:name w:val="No Spacing"/>
    <w:uiPriority w:val="1"/>
    <w:qFormat/>
    <w:rsid w:val="00A64D78"/>
    <w:rPr>
      <w:rFonts w:ascii="Lato Light" w:hAnsi="Lato Light"/>
      <w:sz w:val="18"/>
      <w:szCs w:val="18"/>
      <w:lang w:eastAsia="en-US"/>
    </w:rPr>
  </w:style>
  <w:style w:type="character" w:styleId="Hyperlink">
    <w:name w:val="Hyperlink"/>
    <w:basedOn w:val="DefaultParagraphFont"/>
    <w:uiPriority w:val="99"/>
    <w:unhideWhenUsed/>
    <w:rsid w:val="00062606"/>
    <w:rPr>
      <w:color w:val="0563C1" w:themeColor="hyperlink"/>
      <w:u w:val="single"/>
    </w:rPr>
  </w:style>
  <w:style w:type="character" w:styleId="UnresolvedMention">
    <w:name w:val="Unresolved Mention"/>
    <w:basedOn w:val="DefaultParagraphFont"/>
    <w:uiPriority w:val="99"/>
    <w:semiHidden/>
    <w:unhideWhenUsed/>
    <w:rsid w:val="00062606"/>
    <w:rPr>
      <w:color w:val="605E5C"/>
      <w:shd w:val="clear" w:color="auto" w:fill="E1DFDD"/>
    </w:rPr>
  </w:style>
  <w:style w:type="paragraph" w:styleId="NormalWeb">
    <w:name w:val="Normal (Web)"/>
    <w:basedOn w:val="Normal"/>
    <w:uiPriority w:val="99"/>
    <w:semiHidden/>
    <w:unhideWhenUsed/>
    <w:rsid w:val="008837F7"/>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692">
      <w:bodyDiv w:val="1"/>
      <w:marLeft w:val="0"/>
      <w:marRight w:val="0"/>
      <w:marTop w:val="0"/>
      <w:marBottom w:val="0"/>
      <w:divBdr>
        <w:top w:val="none" w:sz="0" w:space="0" w:color="auto"/>
        <w:left w:val="none" w:sz="0" w:space="0" w:color="auto"/>
        <w:bottom w:val="none" w:sz="0" w:space="0" w:color="auto"/>
        <w:right w:val="none" w:sz="0" w:space="0" w:color="auto"/>
      </w:divBdr>
    </w:div>
    <w:div w:id="219946421">
      <w:bodyDiv w:val="1"/>
      <w:marLeft w:val="0"/>
      <w:marRight w:val="0"/>
      <w:marTop w:val="0"/>
      <w:marBottom w:val="0"/>
      <w:divBdr>
        <w:top w:val="none" w:sz="0" w:space="0" w:color="auto"/>
        <w:left w:val="none" w:sz="0" w:space="0" w:color="auto"/>
        <w:bottom w:val="none" w:sz="0" w:space="0" w:color="auto"/>
        <w:right w:val="none" w:sz="0" w:space="0" w:color="auto"/>
      </w:divBdr>
    </w:div>
    <w:div w:id="466707619">
      <w:bodyDiv w:val="1"/>
      <w:marLeft w:val="0"/>
      <w:marRight w:val="0"/>
      <w:marTop w:val="0"/>
      <w:marBottom w:val="0"/>
      <w:divBdr>
        <w:top w:val="none" w:sz="0" w:space="0" w:color="auto"/>
        <w:left w:val="none" w:sz="0" w:space="0" w:color="auto"/>
        <w:bottom w:val="none" w:sz="0" w:space="0" w:color="auto"/>
        <w:right w:val="none" w:sz="0" w:space="0" w:color="auto"/>
      </w:divBdr>
    </w:div>
    <w:div w:id="475148963">
      <w:bodyDiv w:val="1"/>
      <w:marLeft w:val="0"/>
      <w:marRight w:val="0"/>
      <w:marTop w:val="0"/>
      <w:marBottom w:val="0"/>
      <w:divBdr>
        <w:top w:val="none" w:sz="0" w:space="0" w:color="auto"/>
        <w:left w:val="none" w:sz="0" w:space="0" w:color="auto"/>
        <w:bottom w:val="none" w:sz="0" w:space="0" w:color="auto"/>
        <w:right w:val="none" w:sz="0" w:space="0" w:color="auto"/>
      </w:divBdr>
    </w:div>
    <w:div w:id="561402166">
      <w:bodyDiv w:val="1"/>
      <w:marLeft w:val="0"/>
      <w:marRight w:val="0"/>
      <w:marTop w:val="0"/>
      <w:marBottom w:val="0"/>
      <w:divBdr>
        <w:top w:val="none" w:sz="0" w:space="0" w:color="auto"/>
        <w:left w:val="none" w:sz="0" w:space="0" w:color="auto"/>
        <w:bottom w:val="none" w:sz="0" w:space="0" w:color="auto"/>
        <w:right w:val="none" w:sz="0" w:space="0" w:color="auto"/>
      </w:divBdr>
    </w:div>
    <w:div w:id="857276711">
      <w:bodyDiv w:val="1"/>
      <w:marLeft w:val="0"/>
      <w:marRight w:val="0"/>
      <w:marTop w:val="0"/>
      <w:marBottom w:val="0"/>
      <w:divBdr>
        <w:top w:val="none" w:sz="0" w:space="0" w:color="auto"/>
        <w:left w:val="none" w:sz="0" w:space="0" w:color="auto"/>
        <w:bottom w:val="none" w:sz="0" w:space="0" w:color="auto"/>
        <w:right w:val="none" w:sz="0" w:space="0" w:color="auto"/>
      </w:divBdr>
    </w:div>
    <w:div w:id="879240349">
      <w:bodyDiv w:val="1"/>
      <w:marLeft w:val="0"/>
      <w:marRight w:val="0"/>
      <w:marTop w:val="0"/>
      <w:marBottom w:val="0"/>
      <w:divBdr>
        <w:top w:val="none" w:sz="0" w:space="0" w:color="auto"/>
        <w:left w:val="none" w:sz="0" w:space="0" w:color="auto"/>
        <w:bottom w:val="none" w:sz="0" w:space="0" w:color="auto"/>
        <w:right w:val="none" w:sz="0" w:space="0" w:color="auto"/>
      </w:divBdr>
    </w:div>
    <w:div w:id="986276278">
      <w:bodyDiv w:val="1"/>
      <w:marLeft w:val="0"/>
      <w:marRight w:val="0"/>
      <w:marTop w:val="0"/>
      <w:marBottom w:val="0"/>
      <w:divBdr>
        <w:top w:val="none" w:sz="0" w:space="0" w:color="auto"/>
        <w:left w:val="none" w:sz="0" w:space="0" w:color="auto"/>
        <w:bottom w:val="none" w:sz="0" w:space="0" w:color="auto"/>
        <w:right w:val="none" w:sz="0" w:space="0" w:color="auto"/>
      </w:divBdr>
    </w:div>
    <w:div w:id="1143884102">
      <w:bodyDiv w:val="1"/>
      <w:marLeft w:val="0"/>
      <w:marRight w:val="0"/>
      <w:marTop w:val="0"/>
      <w:marBottom w:val="0"/>
      <w:divBdr>
        <w:top w:val="none" w:sz="0" w:space="0" w:color="auto"/>
        <w:left w:val="none" w:sz="0" w:space="0" w:color="auto"/>
        <w:bottom w:val="none" w:sz="0" w:space="0" w:color="auto"/>
        <w:right w:val="none" w:sz="0" w:space="0" w:color="auto"/>
      </w:divBdr>
    </w:div>
    <w:div w:id="1174877403">
      <w:bodyDiv w:val="1"/>
      <w:marLeft w:val="0"/>
      <w:marRight w:val="0"/>
      <w:marTop w:val="0"/>
      <w:marBottom w:val="0"/>
      <w:divBdr>
        <w:top w:val="none" w:sz="0" w:space="0" w:color="auto"/>
        <w:left w:val="none" w:sz="0" w:space="0" w:color="auto"/>
        <w:bottom w:val="none" w:sz="0" w:space="0" w:color="auto"/>
        <w:right w:val="none" w:sz="0" w:space="0" w:color="auto"/>
      </w:divBdr>
    </w:div>
    <w:div w:id="1208832309">
      <w:bodyDiv w:val="1"/>
      <w:marLeft w:val="0"/>
      <w:marRight w:val="0"/>
      <w:marTop w:val="0"/>
      <w:marBottom w:val="0"/>
      <w:divBdr>
        <w:top w:val="none" w:sz="0" w:space="0" w:color="auto"/>
        <w:left w:val="none" w:sz="0" w:space="0" w:color="auto"/>
        <w:bottom w:val="none" w:sz="0" w:space="0" w:color="auto"/>
        <w:right w:val="none" w:sz="0" w:space="0" w:color="auto"/>
      </w:divBdr>
    </w:div>
    <w:div w:id="1290474019">
      <w:bodyDiv w:val="1"/>
      <w:marLeft w:val="0"/>
      <w:marRight w:val="0"/>
      <w:marTop w:val="0"/>
      <w:marBottom w:val="0"/>
      <w:divBdr>
        <w:top w:val="none" w:sz="0" w:space="0" w:color="auto"/>
        <w:left w:val="none" w:sz="0" w:space="0" w:color="auto"/>
        <w:bottom w:val="none" w:sz="0" w:space="0" w:color="auto"/>
        <w:right w:val="none" w:sz="0" w:space="0" w:color="auto"/>
      </w:divBdr>
    </w:div>
    <w:div w:id="1453474320">
      <w:bodyDiv w:val="1"/>
      <w:marLeft w:val="0"/>
      <w:marRight w:val="0"/>
      <w:marTop w:val="0"/>
      <w:marBottom w:val="0"/>
      <w:divBdr>
        <w:top w:val="none" w:sz="0" w:space="0" w:color="auto"/>
        <w:left w:val="none" w:sz="0" w:space="0" w:color="auto"/>
        <w:bottom w:val="none" w:sz="0" w:space="0" w:color="auto"/>
        <w:right w:val="none" w:sz="0" w:space="0" w:color="auto"/>
      </w:divBdr>
    </w:div>
    <w:div w:id="1465660843">
      <w:bodyDiv w:val="1"/>
      <w:marLeft w:val="0"/>
      <w:marRight w:val="0"/>
      <w:marTop w:val="0"/>
      <w:marBottom w:val="0"/>
      <w:divBdr>
        <w:top w:val="none" w:sz="0" w:space="0" w:color="auto"/>
        <w:left w:val="none" w:sz="0" w:space="0" w:color="auto"/>
        <w:bottom w:val="none" w:sz="0" w:space="0" w:color="auto"/>
        <w:right w:val="none" w:sz="0" w:space="0" w:color="auto"/>
      </w:divBdr>
    </w:div>
    <w:div w:id="1560241528">
      <w:bodyDiv w:val="1"/>
      <w:marLeft w:val="0"/>
      <w:marRight w:val="0"/>
      <w:marTop w:val="0"/>
      <w:marBottom w:val="0"/>
      <w:divBdr>
        <w:top w:val="none" w:sz="0" w:space="0" w:color="auto"/>
        <w:left w:val="none" w:sz="0" w:space="0" w:color="auto"/>
        <w:bottom w:val="none" w:sz="0" w:space="0" w:color="auto"/>
        <w:right w:val="none" w:sz="0" w:space="0" w:color="auto"/>
      </w:divBdr>
    </w:div>
    <w:div w:id="1620602644">
      <w:bodyDiv w:val="1"/>
      <w:marLeft w:val="0"/>
      <w:marRight w:val="0"/>
      <w:marTop w:val="0"/>
      <w:marBottom w:val="0"/>
      <w:divBdr>
        <w:top w:val="none" w:sz="0" w:space="0" w:color="auto"/>
        <w:left w:val="none" w:sz="0" w:space="0" w:color="auto"/>
        <w:bottom w:val="none" w:sz="0" w:space="0" w:color="auto"/>
        <w:right w:val="none" w:sz="0" w:space="0" w:color="auto"/>
      </w:divBdr>
    </w:div>
    <w:div w:id="1639917940">
      <w:bodyDiv w:val="1"/>
      <w:marLeft w:val="0"/>
      <w:marRight w:val="0"/>
      <w:marTop w:val="0"/>
      <w:marBottom w:val="0"/>
      <w:divBdr>
        <w:top w:val="none" w:sz="0" w:space="0" w:color="auto"/>
        <w:left w:val="none" w:sz="0" w:space="0" w:color="auto"/>
        <w:bottom w:val="none" w:sz="0" w:space="0" w:color="auto"/>
        <w:right w:val="none" w:sz="0" w:space="0" w:color="auto"/>
      </w:divBdr>
    </w:div>
    <w:div w:id="1672875547">
      <w:bodyDiv w:val="1"/>
      <w:marLeft w:val="0"/>
      <w:marRight w:val="0"/>
      <w:marTop w:val="0"/>
      <w:marBottom w:val="0"/>
      <w:divBdr>
        <w:top w:val="none" w:sz="0" w:space="0" w:color="auto"/>
        <w:left w:val="none" w:sz="0" w:space="0" w:color="auto"/>
        <w:bottom w:val="none" w:sz="0" w:space="0" w:color="auto"/>
        <w:right w:val="none" w:sz="0" w:space="0" w:color="auto"/>
      </w:divBdr>
    </w:div>
    <w:div w:id="1884443544">
      <w:bodyDiv w:val="1"/>
      <w:marLeft w:val="0"/>
      <w:marRight w:val="0"/>
      <w:marTop w:val="0"/>
      <w:marBottom w:val="0"/>
      <w:divBdr>
        <w:top w:val="none" w:sz="0" w:space="0" w:color="auto"/>
        <w:left w:val="none" w:sz="0" w:space="0" w:color="auto"/>
        <w:bottom w:val="none" w:sz="0" w:space="0" w:color="auto"/>
        <w:right w:val="none" w:sz="0" w:space="0" w:color="auto"/>
      </w:divBdr>
    </w:div>
    <w:div w:id="2047366679">
      <w:bodyDiv w:val="1"/>
      <w:marLeft w:val="0"/>
      <w:marRight w:val="0"/>
      <w:marTop w:val="0"/>
      <w:marBottom w:val="0"/>
      <w:divBdr>
        <w:top w:val="none" w:sz="0" w:space="0" w:color="auto"/>
        <w:left w:val="none" w:sz="0" w:space="0" w:color="auto"/>
        <w:bottom w:val="none" w:sz="0" w:space="0" w:color="auto"/>
        <w:right w:val="none" w:sz="0" w:space="0" w:color="auto"/>
      </w:divBdr>
    </w:div>
    <w:div w:id="2049911220">
      <w:bodyDiv w:val="1"/>
      <w:marLeft w:val="0"/>
      <w:marRight w:val="0"/>
      <w:marTop w:val="0"/>
      <w:marBottom w:val="0"/>
      <w:divBdr>
        <w:top w:val="none" w:sz="0" w:space="0" w:color="auto"/>
        <w:left w:val="none" w:sz="0" w:space="0" w:color="auto"/>
        <w:bottom w:val="none" w:sz="0" w:space="0" w:color="auto"/>
        <w:right w:val="none" w:sz="0" w:space="0" w:color="auto"/>
      </w:divBdr>
    </w:div>
    <w:div w:id="20677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charitytaxgroup.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k\Documents\Custom%20Office%20Templates\CTG%20Consultation%20Pap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CTG Consultation Paper 2016</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Intro</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title>
  <dc:subject/>
  <dc:creator>Nick Kenchington</dc:creator>
  <cp:keywords/>
  <dc:description/>
  <cp:lastModifiedBy>Chris Lane</cp:lastModifiedBy>
  <cp:revision>3</cp:revision>
  <cp:lastPrinted>2018-08-10T15:24:00Z</cp:lastPrinted>
  <dcterms:created xsi:type="dcterms:W3CDTF">2019-11-12T17:26:00Z</dcterms:created>
  <dcterms:modified xsi:type="dcterms:W3CDTF">2019-11-12T17:29:00Z</dcterms:modified>
</cp:coreProperties>
</file>